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DAA80">
      <w:pPr>
        <w:autoSpaceDE/>
        <w:autoSpaceDN/>
        <w:adjustRightInd/>
        <w:snapToGrid/>
        <w:spacing w:after="0"/>
        <w:jc w:val="left"/>
        <w:rPr>
          <w:rFonts w:hint="default" w:ascii="Arial" w:hAnsi="Arial" w:eastAsia="Times New Roman" w:cs="Arial"/>
          <w:color w:val="000000"/>
          <w:sz w:val="16"/>
          <w:szCs w:val="16"/>
          <w:lang w:val="en-US"/>
        </w:rPr>
      </w:pPr>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w:t>
      </w:r>
      <w:r>
        <w:rPr>
          <w:rFonts w:hint="default"/>
          <w:b/>
          <w:kern w:val="2"/>
          <w:lang w:val="en-US" w:eastAsia="zh-CN"/>
        </w:rPr>
        <w:t>3</w:t>
      </w:r>
      <w:r>
        <w:rPr>
          <w:b/>
          <w:kern w:val="2"/>
          <w:lang w:eastAsia="zh-CN"/>
        </w:rPr>
        <w:tab/>
      </w:r>
      <w:r>
        <w:rPr>
          <w:b/>
          <w:kern w:val="2"/>
          <w:lang w:eastAsia="zh-CN"/>
        </w:rPr>
        <w:tab/>
      </w:r>
      <w:r>
        <w:rPr>
          <w:b/>
          <w:kern w:val="2"/>
          <w:lang w:eastAsia="zh-CN"/>
        </w:rPr>
        <w:tab/>
      </w:r>
      <w:r>
        <w:rPr>
          <w:b/>
          <w:kern w:val="2"/>
          <w:lang w:eastAsia="zh-CN"/>
        </w:rPr>
        <w:t xml:space="preserve">                                         </w:t>
      </w:r>
      <w:r>
        <w:rPr>
          <w:rFonts w:hint="eastAsia"/>
          <w:b/>
          <w:kern w:val="2"/>
          <w:lang w:eastAsia="zh-CN"/>
        </w:rPr>
        <w:t xml:space="preserve">               </w:t>
      </w:r>
      <w:r>
        <w:rPr>
          <w:b/>
          <w:kern w:val="2"/>
          <w:lang w:eastAsia="zh-CN"/>
        </w:rPr>
        <w:t xml:space="preserve">               </w:t>
      </w:r>
      <w:r>
        <w:rPr>
          <w:rFonts w:hint="eastAsia"/>
          <w:b/>
          <w:kern w:val="2"/>
          <w:lang w:eastAsia="zh-CN"/>
        </w:rPr>
        <w:t>R1-25083</w:t>
      </w:r>
      <w:r>
        <w:rPr>
          <w:rFonts w:hint="default"/>
          <w:b/>
          <w:kern w:val="2"/>
          <w:lang w:val="en-US" w:eastAsia="zh-CN"/>
        </w:rPr>
        <w:t>49</w:t>
      </w:r>
    </w:p>
    <w:p w14:paraId="7122C863">
      <w:pPr>
        <w:jc w:val="left"/>
        <w:rPr>
          <w:b/>
          <w:kern w:val="2"/>
          <w:lang w:eastAsia="zh-CN"/>
        </w:rPr>
      </w:pPr>
      <w:r>
        <w:rPr>
          <w:rFonts w:hint="eastAsia"/>
          <w:b/>
          <w:kern w:val="2"/>
          <w:lang w:val="en-US" w:eastAsia="zh-CN"/>
        </w:rPr>
        <w:t>Dallas</w:t>
      </w:r>
      <w:r>
        <w:rPr>
          <w:b/>
          <w:kern w:val="2"/>
          <w:lang w:eastAsia="zh-CN"/>
        </w:rPr>
        <w:t xml:space="preserve">, </w:t>
      </w:r>
      <w:r>
        <w:rPr>
          <w:rFonts w:hint="default"/>
          <w:b/>
          <w:kern w:val="2"/>
          <w:lang w:val="en-US" w:eastAsia="zh-CN"/>
        </w:rPr>
        <w:t>US</w:t>
      </w:r>
      <w:r>
        <w:rPr>
          <w:b/>
          <w:kern w:val="2"/>
          <w:lang w:eastAsia="zh-CN"/>
        </w:rPr>
        <w:t xml:space="preserve">, </w:t>
      </w:r>
      <w:r>
        <w:rPr>
          <w:rFonts w:hint="default"/>
          <w:b/>
          <w:kern w:val="2"/>
          <w:lang w:val="en-US" w:eastAsia="zh-CN"/>
        </w:rPr>
        <w:t>November</w:t>
      </w:r>
      <w:r>
        <w:rPr>
          <w:b/>
          <w:kern w:val="2"/>
          <w:lang w:eastAsia="zh-CN"/>
        </w:rPr>
        <w:t xml:space="preserve"> </w:t>
      </w:r>
      <w:r>
        <w:rPr>
          <w:rFonts w:hint="default"/>
          <w:b/>
          <w:kern w:val="2"/>
          <w:lang w:val="en-US" w:eastAsia="zh-CN"/>
        </w:rPr>
        <w:t>17</w:t>
      </w:r>
      <w:r>
        <w:rPr>
          <w:b/>
          <w:kern w:val="2"/>
          <w:vertAlign w:val="superscript"/>
          <w:lang w:eastAsia="zh-CN"/>
        </w:rPr>
        <w:t>th</w:t>
      </w:r>
      <w:r>
        <w:rPr>
          <w:b/>
          <w:kern w:val="2"/>
          <w:lang w:eastAsia="zh-CN"/>
        </w:rPr>
        <w:t xml:space="preserve"> – </w:t>
      </w:r>
      <w:r>
        <w:rPr>
          <w:rFonts w:hint="default"/>
          <w:b/>
          <w:kern w:val="2"/>
          <w:lang w:val="en-US" w:eastAsia="zh-CN"/>
        </w:rPr>
        <w:t>21</w:t>
      </w:r>
      <w:r>
        <w:rPr>
          <w:rFonts w:hint="default"/>
          <w:b/>
          <w:kern w:val="2"/>
          <w:vertAlign w:val="superscript"/>
          <w:lang w:val="en-US" w:eastAsia="zh-CN"/>
        </w:rPr>
        <w:t>st</w:t>
      </w:r>
      <w:r>
        <w:rPr>
          <w:b/>
          <w:kern w:val="2"/>
          <w:lang w:eastAsia="zh-CN"/>
        </w:rPr>
        <w:t>,</w:t>
      </w:r>
      <w:r>
        <w:rPr>
          <w:rFonts w:hint="eastAsia"/>
          <w:b/>
          <w:kern w:val="2"/>
          <w:lang w:eastAsia="zh-CN"/>
        </w:rPr>
        <w:t xml:space="preserve"> </w:t>
      </w:r>
      <w:r>
        <w:rPr>
          <w:b/>
          <w:kern w:val="2"/>
          <w:lang w:eastAsia="zh-CN"/>
        </w:rPr>
        <w:t>202</w:t>
      </w:r>
      <w:r>
        <w:rPr>
          <w:rFonts w:hint="eastAsia"/>
          <w:b/>
          <w:kern w:val="2"/>
          <w:lang w:eastAsia="zh-CN"/>
        </w:rPr>
        <w:t>5</w:t>
      </w:r>
    </w:p>
    <w:p w14:paraId="5E6E80A3">
      <w:pPr>
        <w:pBdr>
          <w:top w:val="single" w:color="auto" w:sz="4" w:space="1"/>
        </w:pBdr>
        <w:spacing w:after="0"/>
        <w:jc w:val="left"/>
        <w:rPr>
          <w:b/>
          <w:kern w:val="2"/>
          <w:sz w:val="16"/>
          <w:szCs w:val="16"/>
          <w:lang w:eastAsia="zh-CN"/>
        </w:rPr>
      </w:pPr>
    </w:p>
    <w:p w14:paraId="5049E506">
      <w:pPr>
        <w:spacing w:after="60"/>
        <w:ind w:left="1555" w:hanging="1555"/>
        <w:jc w:val="left"/>
        <w:rPr>
          <w:rFonts w:hint="default"/>
          <w:b/>
          <w:kern w:val="2"/>
          <w:lang w:val="en-US" w:eastAsia="zh-CN"/>
        </w:rPr>
      </w:pPr>
      <w:r>
        <w:rPr>
          <w:b/>
          <w:kern w:val="2"/>
          <w:lang w:eastAsia="zh-CN"/>
        </w:rPr>
        <w:t>Agenda Item:</w:t>
      </w:r>
      <w:r>
        <w:rPr>
          <w:b/>
          <w:kern w:val="2"/>
          <w:lang w:eastAsia="zh-CN"/>
        </w:rPr>
        <w:tab/>
      </w:r>
      <w:r>
        <w:rPr>
          <w:rFonts w:hint="eastAsia"/>
          <w:b/>
          <w:kern w:val="2"/>
          <w:lang w:eastAsia="zh-CN"/>
        </w:rPr>
        <w:t>10.3.2</w:t>
      </w:r>
      <w:r>
        <w:rPr>
          <w:rFonts w:hint="default"/>
          <w:b/>
          <w:kern w:val="2"/>
          <w:lang w:val="en-US" w:eastAsia="zh-CN"/>
        </w:rPr>
        <w:t>.2</w:t>
      </w:r>
    </w:p>
    <w:p w14:paraId="3DE40207">
      <w:pPr>
        <w:spacing w:after="60"/>
        <w:ind w:left="1555" w:hanging="1555"/>
        <w:jc w:val="left"/>
        <w:rPr>
          <w:b/>
          <w:kern w:val="2"/>
          <w:lang w:eastAsia="zh-CN"/>
        </w:rPr>
      </w:pPr>
      <w:r>
        <w:rPr>
          <w:b/>
          <w:kern w:val="2"/>
          <w:lang w:eastAsia="zh-CN"/>
        </w:rPr>
        <w:t>Source:</w:t>
      </w:r>
      <w:r>
        <w:rPr>
          <w:b/>
          <w:kern w:val="2"/>
          <w:lang w:eastAsia="zh-CN"/>
        </w:rPr>
        <w:tab/>
      </w:r>
      <w:r>
        <w:rPr>
          <w:b/>
          <w:kern w:val="2"/>
          <w:lang w:eastAsia="zh-CN"/>
        </w:rPr>
        <w:t>TCL</w:t>
      </w:r>
    </w:p>
    <w:p w14:paraId="6F2EA121">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Discussion on D2R transmissions for active ambient IoT</w:t>
      </w:r>
    </w:p>
    <w:p w14:paraId="6AE85FFA">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6FB6F6B9">
      <w:pPr>
        <w:pBdr>
          <w:bottom w:val="single" w:color="auto" w:sz="4" w:space="1"/>
        </w:pBdr>
        <w:spacing w:after="0"/>
        <w:jc w:val="left"/>
        <w:rPr>
          <w:b/>
          <w:kern w:val="2"/>
          <w:sz w:val="16"/>
          <w:szCs w:val="16"/>
          <w:lang w:eastAsia="zh-CN"/>
        </w:rPr>
      </w:pPr>
    </w:p>
    <w:p w14:paraId="59240F9E">
      <w:pPr>
        <w:pStyle w:val="2"/>
      </w:pPr>
      <w:bookmarkStart w:id="0" w:name="_Ref129681862"/>
      <w:bookmarkStart w:id="1" w:name="_Ref124589705"/>
      <w:r>
        <w:t>Introduction</w:t>
      </w:r>
      <w:bookmarkEnd w:id="0"/>
      <w:bookmarkEnd w:id="1"/>
    </w:p>
    <w:p w14:paraId="5777F657">
      <w:pPr>
        <w:rPr>
          <w:lang w:eastAsia="zh-CN"/>
        </w:rPr>
      </w:pPr>
      <w:r>
        <w:rPr>
          <w:lang w:eastAsia="zh-CN"/>
        </w:rPr>
        <w:t>The Ambient IoT technology</w:t>
      </w:r>
      <w:r>
        <w:rPr>
          <w:rFonts w:hint="eastAsia"/>
          <w:lang w:eastAsia="zh-CN"/>
        </w:rPr>
        <w:t xml:space="preserve"> </w:t>
      </w:r>
      <w:r>
        <w:rPr>
          <w:lang w:eastAsia="zh-CN"/>
        </w:rPr>
        <w:t>in 3GPP aims to support ultra-low complexity devices with ultra-low power consumption for the very-low end IoT applications.</w:t>
      </w:r>
      <w:r>
        <w:rPr>
          <w:rFonts w:hint="eastAsia"/>
          <w:lang w:eastAsia="zh-CN"/>
        </w:rPr>
        <w:t xml:space="preserve"> 3GPP Release 19 standardized the techniques for Device 1 (≈1 µW peak power) for indoor. A</w:t>
      </w:r>
      <w:r>
        <w:rPr>
          <w:lang w:eastAsia="zh-CN"/>
        </w:rPr>
        <w:t xml:space="preserve"> new </w:t>
      </w:r>
      <w:r>
        <w:rPr>
          <w:rFonts w:hint="eastAsia"/>
          <w:lang w:eastAsia="zh-CN"/>
        </w:rPr>
        <w:t>SID for Ambient IoT</w:t>
      </w:r>
      <w:r>
        <w:rPr>
          <w:lang w:eastAsia="zh-CN"/>
        </w:rPr>
        <w:t xml:space="preserve"> was approved</w:t>
      </w:r>
      <w:r>
        <w:rPr>
          <w:rFonts w:hint="eastAsia"/>
          <w:lang w:eastAsia="zh-CN"/>
        </w:rPr>
        <w:t xml:space="preserve"> in RAN#108 meeting </w:t>
      </w:r>
      <w:r>
        <w:rPr>
          <w:lang w:eastAsia="zh-CN"/>
        </w:rPr>
        <w:fldChar w:fldCharType="begin"/>
      </w:r>
      <w:r>
        <w:rPr>
          <w:lang w:eastAsia="zh-CN"/>
        </w:rPr>
        <w:instrText xml:space="preserve"> </w:instrText>
      </w:r>
      <w:r>
        <w:rPr>
          <w:rFonts w:hint="eastAsia"/>
          <w:lang w:eastAsia="zh-CN"/>
        </w:rPr>
        <w:instrText xml:space="preserve">REF _Ref162960118 \r \h</w:instrText>
      </w:r>
      <w:r>
        <w:rPr>
          <w:lang w:eastAsia="zh-CN"/>
        </w:rPr>
        <w:instrText xml:space="preserve">  \* MERGEFORMAT </w:instrText>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 xml:space="preserve">The new SI aims to study the </w:t>
      </w:r>
      <w:r>
        <w:rPr>
          <w:lang w:eastAsia="zh-CN"/>
        </w:rPr>
        <w:t>necessary modifications to the Release 19 A</w:t>
      </w:r>
      <w:r>
        <w:rPr>
          <w:rFonts w:hint="eastAsia"/>
          <w:lang w:eastAsia="zh-CN"/>
        </w:rPr>
        <w:t>-</w:t>
      </w:r>
      <w:r>
        <w:rPr>
          <w:lang w:eastAsia="zh-CN"/>
        </w:rPr>
        <w:t>IoT specifications to support outdoor deployments</w:t>
      </w:r>
      <w:r>
        <w:rPr>
          <w:rFonts w:hint="eastAsia"/>
          <w:lang w:eastAsia="zh-CN"/>
        </w:rPr>
        <w:t xml:space="preserve"> for active </w:t>
      </w:r>
      <w:r>
        <w:rPr>
          <w:lang w:eastAsia="zh-CN"/>
        </w:rPr>
        <w:t>devices</w:t>
      </w:r>
      <w:r>
        <w:rPr>
          <w:rFonts w:hint="eastAsia"/>
          <w:lang w:eastAsia="zh-CN"/>
        </w:rPr>
        <w:t xml:space="preserve">. </w:t>
      </w:r>
    </w:p>
    <w:p w14:paraId="30324E8F">
      <w:pPr>
        <w:rPr>
          <w:lang w:eastAsia="zh-CN"/>
        </w:rPr>
      </w:pPr>
      <w:r>
        <w:rPr>
          <w:lang w:eastAsia="zh-CN"/>
        </w:rPr>
        <w:t>TR 38.769</w:t>
      </w:r>
      <w:r>
        <w:rPr>
          <w:rFonts w:hint="eastAsia"/>
          <w:lang w:eastAsia="zh-CN"/>
        </w:rPr>
        <w:t xml:space="preserve"> has been </w:t>
      </w:r>
      <w:r>
        <w:rPr>
          <w:lang w:eastAsia="zh-CN"/>
        </w:rPr>
        <w:t>define</w:t>
      </w:r>
      <w:r>
        <w:rPr>
          <w:rFonts w:hint="eastAsia"/>
          <w:lang w:eastAsia="zh-CN"/>
        </w:rPr>
        <w:t>d</w:t>
      </w:r>
      <w:r>
        <w:rPr>
          <w:lang w:eastAsia="zh-CN"/>
        </w:rPr>
        <w:t xml:space="preserve"> </w:t>
      </w:r>
      <w:r>
        <w:rPr>
          <w:rFonts w:eastAsia="等线"/>
        </w:rPr>
        <w:t>A-IoT device architectures based on RF-ED receiver for device 1, 2a, and 2b, and for receiver architectures based on IF-ED or ZIF for Device 2b</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 xml:space="preserve">REF _Ref205482428 \r \h</w:instrText>
      </w:r>
      <w:r>
        <w:rPr>
          <w:lang w:eastAsia="zh-CN"/>
        </w:rPr>
        <w:instrText xml:space="preserve"> </w:instrText>
      </w:r>
      <w:r>
        <w:rPr>
          <w:lang w:eastAsia="zh-CN"/>
        </w:rPr>
        <w:fldChar w:fldCharType="separate"/>
      </w:r>
      <w:r>
        <w:rPr>
          <w:lang w:eastAsia="zh-CN"/>
        </w:rPr>
        <w:t>[2]</w:t>
      </w:r>
      <w:r>
        <w:rPr>
          <w:lang w:eastAsia="zh-CN"/>
        </w:rPr>
        <w:fldChar w:fldCharType="end"/>
      </w:r>
      <w:r>
        <w:rPr>
          <w:rFonts w:hint="eastAsia"/>
          <w:lang w:eastAsia="zh-CN"/>
        </w:rPr>
        <w:t xml:space="preserve">. </w:t>
      </w:r>
      <w:r>
        <w:rPr>
          <w:lang w:eastAsia="zh-CN"/>
        </w:rPr>
        <w:t>T</w:t>
      </w:r>
      <w:r>
        <w:rPr>
          <w:rFonts w:hint="eastAsia"/>
          <w:lang w:eastAsia="zh-CN"/>
        </w:rPr>
        <w:t xml:space="preserve">he SID introduces Device C, </w:t>
      </w:r>
      <w:r>
        <w:t>extending the power budget to 1</w:t>
      </w:r>
      <w:r>
        <w:rPr>
          <w:rFonts w:hint="eastAsia"/>
          <w:lang w:eastAsia="zh-CN"/>
        </w:rPr>
        <w:t>~</w:t>
      </w:r>
      <w:r>
        <w:t>10 mW but keeping a similar receiver architecture</w:t>
      </w:r>
      <w:r>
        <w:rPr>
          <w:rFonts w:hint="eastAsia"/>
          <w:lang w:eastAsia="zh-CN"/>
        </w:rPr>
        <w:t xml:space="preserve"> with Device 2b.</w:t>
      </w:r>
      <w:r>
        <w:rPr>
          <w:lang w:eastAsia="zh-CN"/>
        </w:rPr>
        <w:t xml:space="preserve"> </w:t>
      </w:r>
      <w:r>
        <w:rPr>
          <w:rFonts w:hint="eastAsia"/>
          <w:lang w:eastAsia="zh-CN"/>
        </w:rPr>
        <w:t>Device 2b</w:t>
      </w:r>
      <w:r>
        <w:rPr>
          <w:lang w:eastAsia="zh-CN"/>
        </w:rPr>
        <w:t xml:space="preserve"> and </w:t>
      </w:r>
      <w:r>
        <w:rPr>
          <w:rFonts w:hint="eastAsia"/>
          <w:lang w:eastAsia="zh-CN"/>
        </w:rPr>
        <w:t>Device C</w:t>
      </w:r>
      <w:r>
        <w:rPr>
          <w:lang w:eastAsia="zh-CN"/>
        </w:rPr>
        <w:t xml:space="preserve"> </w:t>
      </w:r>
      <w:r>
        <w:rPr>
          <w:rFonts w:hint="eastAsia"/>
          <w:lang w:eastAsia="zh-CN"/>
        </w:rPr>
        <w:t xml:space="preserve">are </w:t>
      </w:r>
      <w:r>
        <w:rPr>
          <w:lang w:eastAsia="zh-CN"/>
        </w:rPr>
        <w:t>described</w:t>
      </w:r>
      <w:r>
        <w:rPr>
          <w:rFonts w:hint="eastAsia"/>
          <w:lang w:eastAsia="zh-CN"/>
        </w:rPr>
        <w:t xml:space="preserve"> as following</w:t>
      </w:r>
      <w:r>
        <w:rPr>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1516769">
        <w:tc>
          <w:tcPr>
            <w:tcW w:w="9307" w:type="dxa"/>
          </w:tcPr>
          <w:p w14:paraId="14FC8D75">
            <w:pPr>
              <w:widowControl w:val="0"/>
              <w:numPr>
                <w:ilvl w:val="0"/>
                <w:numId w:val="8"/>
              </w:numPr>
              <w:overflowPunct w:val="0"/>
              <w:snapToGrid/>
              <w:spacing w:before="80" w:after="80"/>
              <w:ind w:left="714" w:hanging="357"/>
              <w:textAlignment w:val="baseline"/>
              <w:rPr>
                <w:rFonts w:eastAsia="等线"/>
              </w:rPr>
            </w:pPr>
            <w:r>
              <w:rPr>
                <w:rFonts w:eastAsia="等线"/>
              </w:rPr>
              <w:t>Device 1: As standardized in the Rel-19 WI Ambient_IoT_Solutions.</w:t>
            </w:r>
          </w:p>
          <w:p w14:paraId="37CB7C40">
            <w:pPr>
              <w:widowControl w:val="0"/>
              <w:spacing w:before="80" w:after="80"/>
              <w:ind w:left="714"/>
              <w:rPr>
                <w:rFonts w:eastAsia="等线"/>
              </w:rPr>
            </w:pPr>
            <w:r>
              <w:rPr>
                <w:rFonts w:eastAsia="等线"/>
              </w:rPr>
              <w:t xml:space="preserve">~1 </w:t>
            </w:r>
            <w:r>
              <w:rPr>
                <w:rFonts w:eastAsia="等线"/>
                <w:i/>
                <w:iCs/>
              </w:rPr>
              <w:t>µ</w:t>
            </w:r>
            <w:r>
              <w:rPr>
                <w:rFonts w:eastAsia="等线"/>
              </w:rPr>
              <w:t>W peak power consumption,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46A6650">
            <w:pPr>
              <w:widowControl w:val="0"/>
              <w:numPr>
                <w:ilvl w:val="0"/>
                <w:numId w:val="8"/>
              </w:numPr>
              <w:overflowPunct w:val="0"/>
              <w:snapToGrid/>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50E3D457">
            <w:pPr>
              <w:widowControl w:val="0"/>
              <w:numPr>
                <w:ilvl w:val="0"/>
                <w:numId w:val="8"/>
              </w:numPr>
              <w:overflowPunct w:val="0"/>
              <w:snapToGrid/>
              <w:spacing w:before="80" w:after="80"/>
              <w:ind w:left="714" w:hanging="357"/>
              <w:textAlignment w:val="baseline"/>
              <w:rPr>
                <w:rFonts w:eastAsia="等线"/>
              </w:rPr>
            </w:pPr>
            <w:r>
              <w:rPr>
                <w:rFonts w:eastAsia="等线"/>
              </w:rPr>
              <w:t>Device C: ≤ 1 mW to ≤ 10 mW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4F56002C">
            <w:pPr>
              <w:widowControl/>
              <w:numPr>
                <w:ilvl w:val="0"/>
                <w:numId w:val="8"/>
              </w:numPr>
              <w:overflowPunct w:val="0"/>
              <w:snapToGrid/>
              <w:spacing w:before="80" w:after="80"/>
              <w:ind w:left="714" w:hanging="357"/>
              <w:textAlignment w:val="baseline"/>
              <w:rPr>
                <w:rFonts w:eastAsia="等线"/>
              </w:rPr>
            </w:pPr>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p>
        </w:tc>
      </w:tr>
    </w:tbl>
    <w:p w14:paraId="5B0133BD">
      <w:pPr>
        <w:rPr>
          <w:lang w:eastAsia="zh-CN"/>
        </w:rPr>
      </w:pPr>
      <w:r>
        <w:rPr>
          <w:lang w:eastAsia="zh-CN"/>
        </w:rPr>
        <w:t xml:space="preserve">In this contribution, we will </w:t>
      </w:r>
      <w:r>
        <w:rPr>
          <w:rFonts w:hint="eastAsia"/>
          <w:lang w:eastAsia="zh-CN"/>
        </w:rPr>
        <w:t xml:space="preserve">analysis the </w:t>
      </w:r>
      <w:r>
        <w:rPr>
          <w:lang w:eastAsia="zh-CN"/>
        </w:rPr>
        <w:t xml:space="preserve">feasibility of </w:t>
      </w:r>
      <w:r>
        <w:rPr>
          <w:rFonts w:hint="eastAsia"/>
          <w:lang w:eastAsia="zh-CN"/>
        </w:rPr>
        <w:t>Device 2b</w:t>
      </w:r>
      <w:r>
        <w:rPr>
          <w:lang w:eastAsia="zh-CN"/>
        </w:rPr>
        <w:t xml:space="preserve"> and </w:t>
      </w:r>
      <w:r>
        <w:rPr>
          <w:rFonts w:hint="eastAsia"/>
          <w:lang w:eastAsia="zh-CN"/>
        </w:rPr>
        <w:t>Device C</w:t>
      </w:r>
      <w:r>
        <w:rPr>
          <w:lang w:eastAsia="zh-CN"/>
        </w:rPr>
        <w:t xml:space="preserve"> and </w:t>
      </w:r>
      <w:r>
        <w:rPr>
          <w:rFonts w:hint="eastAsia"/>
          <w:lang w:eastAsia="zh-CN"/>
        </w:rPr>
        <w:t xml:space="preserve">discuss </w:t>
      </w:r>
      <w:r>
        <w:rPr>
          <w:rFonts w:hint="default"/>
          <w:lang w:val="en-US" w:eastAsia="zh-CN"/>
        </w:rPr>
        <w:t>D2R transmission</w:t>
      </w:r>
      <w:r>
        <w:rPr>
          <w:rFonts w:hint="eastAsia"/>
          <w:lang w:val="en-US" w:eastAsia="zh-CN"/>
        </w:rPr>
        <w:t xml:space="preserve"> aspects</w:t>
      </w:r>
      <w:r>
        <w:rPr>
          <w:rFonts w:hint="eastAsia"/>
          <w:lang w:eastAsia="zh-CN"/>
        </w:rPr>
        <w:t>.</w:t>
      </w:r>
    </w:p>
    <w:p w14:paraId="582AC089">
      <w:pPr>
        <w:pStyle w:val="2"/>
        <w:rPr>
          <w:lang w:eastAsia="zh-CN"/>
        </w:rPr>
      </w:pPr>
      <w:r>
        <w:rPr>
          <w:lang w:eastAsia="zh-CN"/>
        </w:rPr>
        <w:t>Discussion</w:t>
      </w:r>
    </w:p>
    <w:p w14:paraId="57E810BA">
      <w:pPr>
        <w:pStyle w:val="4"/>
        <w:numPr>
          <w:numId w:val="0"/>
        </w:numPr>
        <w:tabs>
          <w:tab w:val="clear" w:pos="720"/>
        </w:tabs>
        <w:ind w:leftChars="0"/>
        <w:rPr>
          <w:sz w:val="24"/>
          <w:szCs w:val="24"/>
          <w:lang w:eastAsia="zh-CN"/>
        </w:rPr>
      </w:pPr>
      <w:r>
        <w:rPr>
          <w:rFonts w:hint="eastAsia"/>
          <w:sz w:val="24"/>
          <w:szCs w:val="24"/>
          <w:lang w:val="en-US" w:eastAsia="zh-CN"/>
        </w:rPr>
        <w:t xml:space="preserve">2.1 </w:t>
      </w:r>
      <w:r>
        <w:rPr>
          <w:sz w:val="24"/>
          <w:szCs w:val="24"/>
          <w:lang w:eastAsia="zh-CN"/>
        </w:rPr>
        <w:t>Modulation</w:t>
      </w:r>
    </w:p>
    <w:p w14:paraId="7CD68CB4">
      <w:pPr>
        <w:rPr>
          <w:lang w:eastAsia="zh-CN"/>
        </w:rPr>
      </w:pPr>
      <w:r>
        <w:rPr>
          <w:lang w:eastAsia="zh-CN"/>
        </w:rPr>
        <w:t xml:space="preserve">In last meeting, </w:t>
      </w:r>
      <w:r>
        <w:rPr>
          <w:lang w:eastAsia="ko-KR"/>
        </w:rPr>
        <w:t xml:space="preserve">the following agreement on D2R modulation was achieved.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0CB7908">
        <w:tc>
          <w:tcPr>
            <w:tcW w:w="9307" w:type="dxa"/>
          </w:tcPr>
          <w:p w14:paraId="1EDEFD85">
            <w:pPr>
              <w:widowControl w:val="0"/>
              <w:rPr>
                <w:rFonts w:hint="default" w:ascii="Times New Roman Regular" w:hAnsi="Times New Roman Regular" w:cs="Times New Roman Regular"/>
                <w:b/>
                <w:bCs/>
                <w:sz w:val="22"/>
                <w:szCs w:val="22"/>
              </w:rPr>
            </w:pPr>
            <w:r>
              <w:rPr>
                <w:rFonts w:hint="default" w:ascii="Times New Roman Regular" w:hAnsi="Times New Roman Regular" w:cs="Times New Roman Regular"/>
                <w:b/>
                <w:bCs/>
                <w:sz w:val="22"/>
                <w:szCs w:val="22"/>
                <w:highlight w:val="green"/>
              </w:rPr>
              <w:t>Agreement</w:t>
            </w:r>
          </w:p>
          <w:p w14:paraId="3E6C80F1">
            <w:pPr>
              <w:widowControl w:val="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Regarding D2R modulation for device 2b and device C, further study the following:</w:t>
            </w:r>
          </w:p>
          <w:p w14:paraId="4988C9BC">
            <w:pPr>
              <w:pStyle w:val="48"/>
              <w:widowControl w:val="0"/>
              <w:numPr>
                <w:ilvl w:val="0"/>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 xml:space="preserve">Option 1: BPSK </w:t>
            </w:r>
          </w:p>
          <w:p w14:paraId="5AB97BEF">
            <w:pPr>
              <w:pStyle w:val="48"/>
              <w:widowControl w:val="0"/>
              <w:numPr>
                <w:ilvl w:val="1"/>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FFS the corresponding preamble and midamble design for coherent detection at reader side</w:t>
            </w:r>
          </w:p>
          <w:p w14:paraId="25013C5A">
            <w:pPr>
              <w:pStyle w:val="48"/>
              <w:widowControl w:val="0"/>
              <w:numPr>
                <w:ilvl w:val="0"/>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Option 2: OOK</w:t>
            </w:r>
          </w:p>
          <w:p w14:paraId="5AA32B3C">
            <w:pPr>
              <w:pStyle w:val="48"/>
              <w:widowControl w:val="0"/>
              <w:numPr>
                <w:ilvl w:val="1"/>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FFS the corresponding preamble and midamble design for coherent or non-coherent detection at reader side</w:t>
            </w:r>
          </w:p>
          <w:p w14:paraId="4F36DAA7">
            <w:pPr>
              <w:pStyle w:val="48"/>
              <w:widowControl w:val="0"/>
              <w:numPr>
                <w:ilvl w:val="0"/>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Option 3: DBPSK</w:t>
            </w:r>
          </w:p>
          <w:p w14:paraId="3BE97B5E">
            <w:pPr>
              <w:pStyle w:val="48"/>
              <w:widowControl w:val="0"/>
              <w:numPr>
                <w:ilvl w:val="1"/>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FFS the corresponding preamble and midamble design for non-coherent detection at reader side</w:t>
            </w:r>
          </w:p>
          <w:p w14:paraId="367C6B8A">
            <w:pPr>
              <w:pStyle w:val="48"/>
              <w:widowControl w:val="0"/>
              <w:numPr>
                <w:ilvl w:val="0"/>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 xml:space="preserve">Option 4: MSK </w:t>
            </w:r>
          </w:p>
          <w:p w14:paraId="30C89464">
            <w:pPr>
              <w:pStyle w:val="48"/>
              <w:widowControl w:val="0"/>
              <w:numPr>
                <w:ilvl w:val="1"/>
                <w:numId w:val="9"/>
              </w:numPr>
              <w:spacing w:after="0"/>
              <w:rPr>
                <w:lang w:eastAsia="ko-KR"/>
              </w:rPr>
            </w:pPr>
            <w:r>
              <w:rPr>
                <w:rFonts w:hint="default" w:ascii="Times New Roman Regular" w:hAnsi="Times New Roman Regular" w:cs="Times New Roman Regular"/>
                <w:sz w:val="22"/>
                <w:szCs w:val="22"/>
                <w:lang w:eastAsia="ko-KR"/>
              </w:rPr>
              <w:t>FFS the corresponding preamble and midamble design for coherent or non-coherent detection at reader side</w:t>
            </w:r>
          </w:p>
          <w:p w14:paraId="032BE60B">
            <w:pPr>
              <w:pStyle w:val="48"/>
              <w:widowControl w:val="0"/>
              <w:numPr>
                <w:ilvl w:val="0"/>
                <w:numId w:val="0"/>
              </w:numPr>
              <w:spacing w:after="0"/>
              <w:rPr>
                <w:rFonts w:hint="default" w:ascii="Times New Roman Regular" w:hAnsi="Times New Roman Regular" w:cs="Times New Roman Regular"/>
                <w:sz w:val="22"/>
                <w:szCs w:val="22"/>
                <w:lang w:eastAsia="ko-KR"/>
              </w:rPr>
            </w:pPr>
          </w:p>
          <w:p w14:paraId="2281A4A6">
            <w:pPr>
              <w:widowControl w:val="0"/>
              <w:rPr>
                <w:rFonts w:hint="default" w:ascii="Times New Roman Regular" w:hAnsi="Times New Roman Regular" w:eastAsia="等线" w:cs="Times New Roman Regular"/>
                <w:b/>
                <w:bCs/>
                <w:sz w:val="22"/>
                <w:szCs w:val="22"/>
                <w:lang w:val="en-US" w:eastAsia="zh-CN"/>
              </w:rPr>
            </w:pPr>
            <w:r>
              <w:rPr>
                <w:rFonts w:hint="default" w:ascii="Times New Roman Regular" w:hAnsi="Times New Roman Regular" w:eastAsia="等线" w:cs="Times New Roman Regular"/>
                <w:b/>
                <w:bCs/>
                <w:sz w:val="22"/>
                <w:szCs w:val="22"/>
                <w:highlight w:val="green"/>
                <w:lang w:val="en-US" w:eastAsia="zh-CN"/>
              </w:rPr>
              <w:t>Agreement</w:t>
            </w:r>
          </w:p>
          <w:p w14:paraId="35365C41">
            <w:pPr>
              <w:widowControl w:val="0"/>
              <w:rPr>
                <w:rFonts w:hint="default" w:ascii="Times New Roman Regular" w:hAnsi="Times New Roman Regular" w:cs="Times New Roman Regular"/>
                <w:sz w:val="22"/>
                <w:szCs w:val="22"/>
                <w:lang w:val="en-US"/>
              </w:rPr>
            </w:pPr>
            <w:r>
              <w:rPr>
                <w:rFonts w:hint="default" w:ascii="Times New Roman Regular" w:hAnsi="Times New Roman Regular" w:cs="Times New Roman Regular"/>
                <w:sz w:val="22"/>
                <w:szCs w:val="22"/>
              </w:rPr>
              <w:t>The study assumes single-carrier waveform for D2R.</w:t>
            </w:r>
          </w:p>
          <w:p w14:paraId="686E2487">
            <w:pPr>
              <w:pStyle w:val="48"/>
              <w:widowControl w:val="0"/>
              <w:numPr>
                <w:ilvl w:val="0"/>
                <w:numId w:val="0"/>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FFS whether to use 2SB or 1SB for D2R</w:t>
            </w:r>
          </w:p>
        </w:tc>
      </w:tr>
    </w:tbl>
    <w:p w14:paraId="11867E2D">
      <w:pPr>
        <w:pStyle w:val="17"/>
      </w:pPr>
      <w:r>
        <w:t>For Release-19 device 1, the D2R uplink was realized via backscatter, inherently pro</w:t>
      </w:r>
      <w:r>
        <w:rPr>
          <w:rFonts w:hint="default" w:ascii="Times New Roman" w:hAnsi="Times New Roman" w:cs="Times New Roman"/>
          <w:b w:val="0"/>
          <w:bCs w:val="0"/>
        </w:rPr>
        <w:t>ducing a 2SB modulated signal (since reflecting a carrier wave modulates both the upper and lower sideband around the continuous wave). Device 1 supported simple OOK or BPSK with 2SB modulation on the backscattered carrier. In contrast, the new active Device 2b/C have their own RF oscillator and can generate a transmit signal directly. This allows 1SB m</w:t>
      </w:r>
      <w:r>
        <w:t>odulation to be considered for D2R, meaning the device can concentrate its transmit energy into a single narrowband signal (single carrier) without producing an image sideband. Using 1SB modulation improves spectral efficiency and reduces interference, as all transmit power is contained in the intended band instead of being split into mirror sidebands. It also simplifies filtering at the reader since only one sideband needs to be received.  Single-carrier waveforms are preferred due to their low complexity and robustness in the presence of high frequency offset; using an OFDM or multi-tone waveform would be far too sensitive to the large CFO of these devices and too power-hungry for their simple transmitters.</w:t>
      </w:r>
    </w:p>
    <w:p w14:paraId="0B2BD9E4">
      <w:pPr>
        <w:pStyle w:val="17"/>
        <w:outlineLvl w:val="3"/>
        <w:rPr>
          <w:b/>
          <w:bCs/>
        </w:rPr>
      </w:pPr>
      <w:r>
        <w:rPr>
          <w:rFonts w:hint="eastAsia"/>
          <w:b/>
          <w:bCs/>
          <w:lang w:val="en-US" w:eastAsia="zh-CN"/>
        </w:rPr>
        <w:t xml:space="preserve">2.1.1 </w:t>
      </w:r>
      <w:r>
        <w:rPr>
          <w:b/>
          <w:bCs/>
        </w:rPr>
        <w:t>OOK vs. BPSK</w:t>
      </w:r>
    </w:p>
    <w:p w14:paraId="59ACC0CD">
      <w:pPr>
        <w:pStyle w:val="17"/>
      </w:pPr>
      <w:r>
        <w:rPr>
          <w:rFonts w:hint="default" w:ascii="Times New Roman Bold" w:hAnsi="Times New Roman Bold" w:cs="Times New Roman Bold"/>
          <w:b/>
          <w:bCs/>
        </w:rPr>
        <w:t>OOK</w:t>
      </w:r>
      <w:r>
        <w:t xml:space="preserve"> is an amplitude-shift keying scheme where the carrier is either present (“On”) or absent (“Off”) to convey bits. Mathematically, an OOK transmit signal can be represented as:</w:t>
      </w:r>
    </w:p>
    <w:p w14:paraId="06592909">
      <w:pPr>
        <w:pStyle w:val="17"/>
      </w:pPr>
      <m:oMathPara>
        <m:oMathParaPr>
          <m:jc m:val="center"/>
        </m:oMathParaPr>
        <m:oMath>
          <m:sSub>
            <m:sSubPr/>
            <m:e>
              <m:r>
                <m:rPr/>
                <m:t>s</m:t>
              </m:r>
            </m:e>
            <m:sub>
              <m:r>
                <m:rPr>
                  <m:nor/>
                  <m:sty m:val="p"/>
                </m:rPr>
                <w:rPr>
                  <w:b w:val="0"/>
                  <w:i w:val="0"/>
                </w:rPr>
                <m:t>OOK</m:t>
              </m:r>
            </m:sub>
          </m:sSub>
          <m:d>
            <m:dPr>
              <m:sepChr m:val=""/>
            </m:dPr>
            <m:e>
              <m:r>
                <m:rPr/>
                <m:t>t</m:t>
              </m:r>
            </m:e>
          </m:d>
          <m:r>
            <m:rPr>
              <m:sty m:val="p"/>
            </m:rPr>
            <m:t>=</m:t>
          </m:r>
          <m:d>
            <m:dPr>
              <m:begChr m:val="{"/>
              <m:sepChr m:val=""/>
              <m:endChr m:val=""/>
            </m:dPr>
            <m:e>
              <m:m>
                <m:mPr>
                  <m:mcs>
                    <m:mc>
                      <m:mcPr>
                        <m:count m:val="2"/>
                        <m:mcJc m:val="left"/>
                      </m:mcPr>
                    </m:mc>
                  </m:mcs>
                  <m:plcHide m:val="1"/>
                </m:mPr>
                <m:mr>
                  <m:e>
                    <m:r>
                      <m:rPr/>
                      <m:t>A</m:t>
                    </m:r>
                    <m:r>
                      <m:rPr>
                        <m:sty m:val="p"/>
                      </m:rPr>
                      <m:t>cos</m:t>
                    </m:r>
                    <m:d>
                      <m:dPr>
                        <m:sepChr m:val=""/>
                      </m:dPr>
                      <m:e>
                        <m:r>
                          <m:rPr/>
                          <m:t>2π</m:t>
                        </m:r>
                        <m:sSub>
                          <m:sSubPr/>
                          <m:e>
                            <m:r>
                              <m:rPr/>
                              <m:t>f</m:t>
                            </m:r>
                          </m:e>
                          <m:sub>
                            <m:r>
                              <m:rPr/>
                              <m:t>c</m:t>
                            </m:r>
                          </m:sub>
                        </m:sSub>
                        <m:r>
                          <m:rPr/>
                          <m:t>t</m:t>
                        </m:r>
                      </m:e>
                    </m:d>
                  </m:e>
                  <m:e>
                    <m:r>
                      <m:rPr>
                        <m:nor/>
                        <m:sty m:val="p"/>
                      </m:rPr>
                      <w:rPr>
                        <w:b w:val="0"/>
                        <w:i w:val="0"/>
                      </w:rPr>
                      <m:t>for bit 1 (carrier on)</m:t>
                    </m:r>
                  </m:e>
                </m:mr>
                <m:mr>
                  <m:e>
                    <m:r>
                      <m:rPr/>
                      <m:t>0</m:t>
                    </m:r>
                  </m:e>
                  <m:e>
                    <m:r>
                      <m:rPr>
                        <m:nor/>
                        <m:sty m:val="p"/>
                      </m:rPr>
                      <w:rPr>
                        <w:b w:val="0"/>
                        <w:i w:val="0"/>
                      </w:rPr>
                      <m:t>for bit 0 (carrier off)</m:t>
                    </m:r>
                  </m:e>
                </m:mr>
              </m:m>
            </m:e>
          </m:d>
        </m:oMath>
      </m:oMathPara>
    </w:p>
    <w:p w14:paraId="6889AC9C">
      <w:pPr>
        <w:pStyle w:val="83"/>
      </w:pPr>
      <w:r>
        <w:t>over the duration of a symbol interval T_b. This modulation is</w:t>
      </w:r>
      <w:r>
        <w:rPr>
          <w:rFonts w:hint="default" w:ascii="Times New Roman" w:hAnsi="Times New Roman" w:cs="Times New Roman"/>
          <w:i w:val="0"/>
          <w:iCs w:val="0"/>
        </w:rPr>
        <w:t xml:space="preserve"> non-coherent</w:t>
      </w:r>
      <w:r>
        <w:t xml:space="preserve"> by nature – the reader’s receiver can simply perform envelope detection (energy detection) to decide if a signal was present or not during each chip/bit period. The key advantage of OOK for ambient IoT is its extreme simplicity in the device: turning the carrier on and off can be done by gating a switch or transistor in the RF path, which consumes minimal power. Indeed, for Device 1 (passive backscatter), OOK was the primary waveform used in downlink and uplink because the tag could easily reflect or not reflect the continuous wave to send ‘1’ or ‘0’. OOK also naturally produces a constant phase (when on) and no output when off, which pairs well with simple envelope detectors on the reader side (especially since the reader may need to handle many devices and cannot rely on complex phase tracking for each).</w:t>
      </w:r>
    </w:p>
    <w:p w14:paraId="71E87644">
      <w:pPr>
        <w:pStyle w:val="17"/>
      </w:pPr>
      <w:r>
        <w:t>However, OOK tends to be less spectrally efficient and can have higher error rates than phase-shift keying at the same SNR in AWGN channels. Because the ‘off’ state conveys zero energy, OOK has no signal during bit-0, so the reader’s detector must distinguish silence (which could be corrupted by noise or interference) from a weak signal. This makes OOK slightly less power-efficient in terms of reliable communication – roughly, non-coherent OOK requires about 1–2 dB higher SNR than coherent BPSK to achieve the same BER in AWGN. On the other hand, at extremely low SNR regimes, where phase tracking is challenged by noise, non-coherent OOK can sometimes outperform coherent BPSK because detecting energy (amplitude) is easier than detecting a specific phase in very noisy conditions. In a measured Ambient IoT demonstration, for example, BPSK showed better BER performance at moderate SNR, but at an SNR around –5 dB, the OOK scheme yielded a lower error rate than BPSK as the receiver struggled to maintain phase coherence in noise. This indicates that OOK’s non-coherent detection can be robust when the signal is buried near the noise floor, an important consideration for long-range or ultra-low-power scenarios.</w:t>
      </w:r>
    </w:p>
    <w:p w14:paraId="7B948D5A">
      <w:pPr>
        <w:pStyle w:val="17"/>
      </w:pPr>
      <w:r>
        <w:rPr>
          <w:rFonts w:hint="default" w:ascii="Times New Roman Bold" w:hAnsi="Times New Roman Bold" w:cs="Times New Roman Bold"/>
          <w:b/>
          <w:bCs/>
        </w:rPr>
        <w:t>BPSK</w:t>
      </w:r>
      <w:r>
        <w:t xml:space="preserve"> is a phase modulation that transmits information in the phase of the carrier: typically 0° for bit ‘1’ and 180° (π radians) for bit ‘0’. The modulated signal can be written as:</w:t>
      </w:r>
    </w:p>
    <w:p w14:paraId="3F7C781B">
      <w:pPr>
        <w:pStyle w:val="17"/>
      </w:pPr>
      <m:oMathPara>
        <m:oMathParaPr>
          <m:jc m:val="center"/>
        </m:oMathParaPr>
        <m:oMath>
          <m:sSub>
            <m:sSubPr/>
            <m:e>
              <m:r>
                <m:rPr/>
                <m:t>s</m:t>
              </m:r>
            </m:e>
            <m:sub>
              <m:r>
                <m:rPr>
                  <m:nor/>
                  <m:sty m:val="p"/>
                </m:rPr>
                <w:rPr>
                  <w:b w:val="0"/>
                  <w:i w:val="0"/>
                </w:rPr>
                <m:t>BPSK</m:t>
              </m:r>
            </m:sub>
          </m:sSub>
          <m:d>
            <m:dPr>
              <m:sepChr m:val=""/>
            </m:dPr>
            <m:e>
              <m:r>
                <m:rPr/>
                <m:t>t</m:t>
              </m:r>
            </m:e>
          </m:d>
          <m:r>
            <m:rPr>
              <m:sty m:val="p"/>
            </m:rPr>
            <m:t>=</m:t>
          </m:r>
          <m:r>
            <m:rPr/>
            <m:t>A</m:t>
          </m:r>
          <m:r>
            <m:rPr>
              <m:sty m:val="p"/>
            </m:rPr>
            <m:t>cos</m:t>
          </m:r>
          <m:r>
            <m:rPr/>
            <m:t>​</m:t>
          </m:r>
          <m:d>
            <m:dPr>
              <m:sepChr m:val=""/>
            </m:dPr>
            <m:e>
              <m:r>
                <m:rPr/>
                <m:t>2π</m:t>
              </m:r>
              <m:sSub>
                <m:sSubPr/>
                <m:e>
                  <m:r>
                    <m:rPr/>
                    <m:t>f</m:t>
                  </m:r>
                </m:e>
                <m:sub>
                  <m:r>
                    <m:rPr/>
                    <m:t>c</m:t>
                  </m:r>
                </m:sub>
              </m:sSub>
              <m:r>
                <m:rPr/>
                <m:t>t</m:t>
              </m:r>
              <m:r>
                <m:rPr>
                  <m:sty m:val="p"/>
                </m:rPr>
                <m:t>+</m:t>
              </m:r>
              <m:r>
                <m:rPr/>
                <m:t>π</m:t>
              </m:r>
              <m:sSub>
                <m:sSubPr/>
                <m:e>
                  <m:r>
                    <m:rPr/>
                    <m:t>b</m:t>
                  </m:r>
                </m:e>
                <m:sub>
                  <m:r>
                    <m:rPr/>
                    <m:t>n</m:t>
                  </m:r>
                </m:sub>
              </m:sSub>
            </m:e>
          </m:d>
          <m:r>
            <m:rPr>
              <m:sty m:val="p"/>
            </m:rPr>
            <m:t>,</m:t>
          </m:r>
        </m:oMath>
      </m:oMathPara>
    </w:p>
    <w:p w14:paraId="002A36B3">
      <w:pPr>
        <w:pStyle w:val="83"/>
      </w:pPr>
      <w:r>
        <w:t xml:space="preserve">where bn </w:t>
      </w:r>
      <w:r>
        <w:rPr>
          <w:rFonts w:hint="default" w:ascii="Times New Roman" w:hAnsi="Times New Roman" w:cs="Times New Roman"/>
        </w:rPr>
        <w:t>ϵ</w:t>
      </w:r>
      <w:r>
        <w:t>{0,1} is the n</w:t>
      </w:r>
      <w:r>
        <w:rPr>
          <w:rFonts w:hint="eastAsia"/>
          <w:lang w:val="en-US" w:eastAsia="zh-CN"/>
        </w:rPr>
        <w:t>-</w:t>
      </w:r>
      <w:r>
        <w:t>th information bit This constant-amplitude, phase-reversing signal requi</w:t>
      </w:r>
      <w:r>
        <w:rPr>
          <w:rFonts w:hint="default" w:ascii="Times New Roman" w:hAnsi="Times New Roman" w:cs="Times New Roman"/>
          <w:b w:val="0"/>
          <w:bCs w:val="0"/>
        </w:rPr>
        <w:t>res a coherent detector at the reader (one that tracks the carrier phase) to decode the bits correctly, since the difference between symbols is only in phase. The trade-off is that the reader must perform carrier recovery or have a reliable phase reference. For Ambient IoT Device 2b/C, coherent detection at the reader is feasible (the reader is presumed to be a more capable device, e.g. a base station or dedicated reader with power and processing). The challenge is ensuring the device’s transmitted phase is stable relative to the reader – which brings the issue of CFO</w:t>
      </w:r>
      <w:r>
        <w:t>. A large CFO between device and reader would cause the phase of a BPSK signal to continuously drift, making coherent integration difficult unless corrected. Thus, BPSK in Device 2b/C operation presumes that CFO can be calibrated or tracked (this is discussed in detail in Chapter 3). If CFO is well-controlled, BPSK is attractive because it delivers lower BER at a given SNR than OOK and, unlike OOK, always uses the full symbol time to transmit energy (no “off” periods), which maximizes energy per bit. The device implementation of BPSK is slightly more complex than OOK: the tag must generate and modulate a 180° phase shift on its carrier. Fortunately, an active device with an RF oscillator can implement BPSK by driving an RF switch or a mixer to invert the carrier phase according to the bit. This requires only a 1-bit control to flip the phase, which is a low-complexity operation. Indeed, even passive backscatter tags can implement binary phase modulation by switching between two load impedances that introduce a 0 or π phase shift to the reflected wave. Therefore, supporting BPSK for Device 2b/C is quite feasible and desirable for its performance benefits, as long as the system provides means for phase synchronization (e.g., via a preamble or pilot).</w:t>
      </w:r>
    </w:p>
    <w:p w14:paraId="14FD5017">
      <w:pPr>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val="en-US" w:eastAsia="zh-CN"/>
        </w:rPr>
        <w:t xml:space="preserve">Observation 1: </w:t>
      </w:r>
      <w:r>
        <w:rPr>
          <w:rFonts w:hint="default" w:ascii="Times New Roman Bold Italic" w:hAnsi="Times New Roman Bold Italic" w:cs="Times New Roman Bold Italic"/>
          <w:b/>
          <w:bCs/>
          <w:i/>
          <w:iCs/>
        </w:rPr>
        <w:t xml:space="preserve">In light of the above analysis, OOK and BPSK (with 1SB) emerge as strong candidates for baseline modulation in Rel-20 for Device 2b/C. </w:t>
      </w:r>
    </w:p>
    <w:p w14:paraId="0692FA2F">
      <w:pPr>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val="en-US" w:eastAsia="zh-CN"/>
        </w:rPr>
        <w:t xml:space="preserve">-- </w:t>
      </w:r>
      <w:r>
        <w:rPr>
          <w:rFonts w:hint="default" w:ascii="Times New Roman Bold Italic" w:hAnsi="Times New Roman Bold Italic" w:cs="Times New Roman Bold Italic"/>
          <w:b/>
          <w:bCs/>
          <w:i/>
          <w:iCs/>
        </w:rPr>
        <w:t xml:space="preserve">BPSK offers better reliability under sufficient SNR and proper synchronization, whereas OOK offers simplicity and might be slightly advantageous in extreme low-SNR edge cases or for non-coherent operation. </w:t>
      </w:r>
    </w:p>
    <w:p w14:paraId="4F111325">
      <w:pPr>
        <w:pStyle w:val="17"/>
        <w:rPr>
          <w:rFonts w:hint="eastAsia"/>
          <w:lang w:eastAsia="zh-CN"/>
        </w:rPr>
      </w:pPr>
    </w:p>
    <w:p w14:paraId="3F4FB613">
      <w:pPr>
        <w:pStyle w:val="17"/>
        <w:outlineLvl w:val="3"/>
        <w:rPr>
          <w:b/>
          <w:bCs/>
        </w:rPr>
      </w:pPr>
      <w:r>
        <w:rPr>
          <w:rFonts w:hint="eastAsia"/>
          <w:b/>
          <w:bCs/>
          <w:lang w:val="en-US" w:eastAsia="zh-CN"/>
        </w:rPr>
        <w:t xml:space="preserve">2.1.2 </w:t>
      </w:r>
      <w:r>
        <w:rPr>
          <w:b/>
          <w:bCs/>
        </w:rPr>
        <w:t>DBPSK</w:t>
      </w:r>
    </w:p>
    <w:p w14:paraId="03FAABC9">
      <w:pPr>
        <w:pStyle w:val="17"/>
      </w:pPr>
      <w:r>
        <w:t>DBPSK is a variant of BPSK designed f</w:t>
      </w:r>
      <w:r>
        <w:rPr>
          <w:rFonts w:hint="default" w:ascii="Times New Roman" w:hAnsi="Times New Roman" w:cs="Times New Roman"/>
          <w:b w:val="0"/>
          <w:bCs w:val="0"/>
          <w:i w:val="0"/>
          <w:iCs w:val="0"/>
        </w:rPr>
        <w:t xml:space="preserve">or non-coherent detection. Rather than requiring an absolute phase reference, DBPSK encodes information in the phase change between consecutive symbols. In differential encoding, the transmitted phase </w:t>
      </w:r>
      <m:oMath>
        <m:sSub>
          <m:sSubPr/>
          <m:e>
            <m:r>
              <m:rPr/>
              <m:t>θ</m:t>
            </m:r>
          </m:e>
          <m:sub>
            <m:r>
              <m:rPr/>
              <m:t>n</m:t>
            </m:r>
          </m:sub>
        </m:sSub>
      </m:oMath>
      <w:r>
        <w:rPr>
          <w:rFonts w:hint="default" w:ascii="Times New Roman" w:hAnsi="Times New Roman" w:cs="Times New Roman"/>
          <w:b w:val="0"/>
          <w:bCs w:val="0"/>
          <w:i w:val="0"/>
          <w:iCs w:val="0"/>
        </w:rPr>
        <w:t xml:space="preserve"> for symbol n is set relative to the previous symbol’s phase </w:t>
      </w:r>
      <m:oMath>
        <m:sSub>
          <m:sSubPr/>
          <m:e>
            <m:r>
              <m:rPr/>
              <m:t>θ</m:t>
            </m:r>
          </m:e>
          <m:sub>
            <m:r>
              <m:rPr/>
              <m:t>n</m:t>
            </m:r>
            <m:r>
              <m:rPr>
                <m:sty m:val="p"/>
              </m:rPr>
              <m:t>−</m:t>
            </m:r>
            <m:r>
              <m:rPr/>
              <m:t>1</m:t>
            </m:r>
          </m:sub>
        </m:sSub>
      </m:oMath>
      <w:r>
        <w:rPr>
          <w:rFonts w:hint="default" w:ascii="Times New Roman" w:hAnsi="Times New Roman" w:cs="Times New Roman"/>
          <w:b w:val="0"/>
          <w:bCs w:val="0"/>
          <w:i w:val="0"/>
          <w:iCs w:val="0"/>
        </w:rPr>
        <w:t xml:space="preserve"> and the new data bit a</w:t>
      </w:r>
      <w:r>
        <w:rPr>
          <w:rFonts w:hint="default" w:ascii="Times New Roman" w:hAnsi="Times New Roman" w:cs="Times New Roman"/>
          <w:b w:val="0"/>
          <w:bCs w:val="0"/>
          <w:i w:val="0"/>
          <w:iCs w:val="0"/>
          <w:vertAlign w:val="subscript"/>
        </w:rPr>
        <w:t>n</w:t>
      </w:r>
      <w:r>
        <w:rPr>
          <w:rFonts w:hint="default" w:ascii="Times New Roman" w:hAnsi="Times New Roman" w:cs="Times New Roman"/>
          <w:b w:val="0"/>
          <w:bCs w:val="0"/>
          <w:i w:val="0"/>
          <w:iCs w:val="0"/>
        </w:rPr>
        <w:t>. For example, a common encoding rule is:</w:t>
      </w:r>
    </w:p>
    <w:p w14:paraId="5843D364">
      <w:pPr>
        <w:pStyle w:val="17"/>
      </w:pPr>
      <m:oMathPara>
        <m:oMathParaPr>
          <m:jc m:val="center"/>
        </m:oMathParaPr>
        <m:oMath>
          <m:sSub>
            <m:sSubPr/>
            <m:e>
              <m:r>
                <m:rPr/>
                <m:t>θ</m:t>
              </m:r>
            </m:e>
            <m:sub>
              <m:r>
                <m:rPr/>
                <m:t>n</m:t>
              </m:r>
            </m:sub>
          </m:sSub>
          <m:r>
            <m:rPr>
              <m:sty m:val="p"/>
            </m:rPr>
            <m:t>=</m:t>
          </m:r>
          <m:sSub>
            <m:sSubPr/>
            <m:e>
              <m:r>
                <m:rPr/>
                <m:t>θ</m:t>
              </m:r>
            </m:e>
            <m:sub>
              <m:r>
                <m:rPr/>
                <m:t>n</m:t>
              </m:r>
              <m:r>
                <m:rPr>
                  <m:sty m:val="p"/>
                </m:rPr>
                <m:t>−</m:t>
              </m:r>
              <m:r>
                <m:rPr/>
                <m:t>1</m:t>
              </m:r>
            </m:sub>
          </m:sSub>
          <m:r>
            <m:rPr>
              <m:sty m:val="p"/>
            </m:rPr>
            <m:t>+</m:t>
          </m:r>
          <m:r>
            <m:rPr/>
            <m:t>π</m:t>
          </m:r>
          <m:r>
            <m:rPr>
              <m:sty m:val="p"/>
            </m:rPr>
            <m:t>⋅</m:t>
          </m:r>
          <m:sSub>
            <m:sSubPr/>
            <m:e>
              <m:r>
                <m:rPr/>
                <m:t>a</m:t>
              </m:r>
            </m:e>
            <m:sub>
              <m:r>
                <m:rPr/>
                <m:t>n</m:t>
              </m:r>
            </m:sub>
          </m:sSub>
          <m:r>
            <m:rPr>
              <m:sty m:val="p"/>
            </m:rPr>
            <m:t>,</m:t>
          </m:r>
        </m:oMath>
      </m:oMathPara>
    </w:p>
    <w:p w14:paraId="37774DEC">
      <w:pPr>
        <w:pStyle w:val="83"/>
      </w:pPr>
      <w:r>
        <w:t>where a</w:t>
      </w:r>
      <w:r>
        <w:rPr>
          <w:vertAlign w:val="subscript"/>
        </w:rPr>
        <w:t>n</w:t>
      </w:r>
      <w:r>
        <w:t xml:space="preserve"> is 0 or 1 for the data bit. In other words, if the bit</w:t>
      </w:r>
      <w:r>
        <w:rPr>
          <w:rFonts w:hint="eastAsia"/>
          <w:lang w:val="en-US" w:eastAsia="zh-CN"/>
        </w:rPr>
        <w:t xml:space="preserve"> </w:t>
      </w:r>
      <w:r>
        <w:t>a</w:t>
      </w:r>
      <w:r>
        <w:rPr>
          <w:vertAlign w:val="subscript"/>
        </w:rPr>
        <w:t>n</w:t>
      </w:r>
      <w:r>
        <w:t xml:space="preserve"> is 0, the phase does not change from the previous symbol; if a</w:t>
      </w:r>
      <w:r>
        <w:rPr>
          <w:vertAlign w:val="subscript"/>
        </w:rPr>
        <w:t>n</w:t>
      </w:r>
      <w:r>
        <w:t>=1, the transmitter flips the phase by 180°. The first symbol ca</w:t>
      </w:r>
      <w:r>
        <w:rPr>
          <w:rFonts w:hint="default" w:ascii="Times New Roman" w:hAnsi="Times New Roman" w:cs="Times New Roman"/>
          <w:b w:val="0"/>
          <w:bCs w:val="0"/>
        </w:rPr>
        <w:t>n start at a reference phase (e.g. 0°). At the receiver, a coherent reference is not needed – instead, the receiver performs differential demodulation by multiplying each received symbol by the complex conjugate of the previous received symbol to observe the phase difference. The decision is then based on whether this phase difference is around 0 or π, corresponding to bit 0 or 1. This way, any constant phase offset (from unknown initial phase or slow drift) cancels out, because i</w:t>
      </w:r>
      <w:r>
        <w:t>t affects both y</w:t>
      </w:r>
      <w:r>
        <w:rPr>
          <w:vertAlign w:val="subscript"/>
        </w:rPr>
        <w:t>n-1</w:t>
      </w:r>
      <w:r>
        <w:t xml:space="preserve"> and y</w:t>
      </w:r>
      <w:r>
        <w:rPr>
          <w:vertAlign w:val="subscript"/>
        </w:rPr>
        <w:t>n</w:t>
      </w:r>
      <w:r>
        <w:t xml:space="preserve"> similarly and is removed in the phase subtraction.</w:t>
      </w:r>
    </w:p>
    <w:p w14:paraId="768D0B7F">
      <w:pPr>
        <w:pStyle w:val="17"/>
      </w:pPr>
      <w:r>
        <w:t xml:space="preserve">The main advantage of DBPSK for Ambient IoT is that it retains much of BPSK’s simplicity while </w:t>
      </w:r>
      <w:r>
        <w:rPr>
          <w:b w:val="0"/>
          <w:bCs w:val="0"/>
        </w:rPr>
        <w:t>eliminating the need for a dedicated carrier phase tracking loop</w:t>
      </w:r>
      <w:r>
        <w:t xml:space="preserve"> at the reader This makes the receiver design simpler and more robust to phase uncertainties. In the context of Device 2b/C, if CFO cannot be perfectly corrected, a differential scheme might tolerate a small residual frequency offset better than coherent BPSK: the differential detector only cares about phase changes over one symbol interval. Any slow phase drift over many symbols (due to CFO) would appear as a consistent bias in the differential phase, which could be manageable if small. Also, differential modulation inherently combats </w:t>
      </w:r>
      <w:r>
        <w:rPr>
          <w:b/>
          <w:bCs/>
        </w:rPr>
        <w:t>phase ambiguity</w:t>
      </w:r>
      <w:r>
        <w:t xml:space="preserve"> issues; for example, a 180</w:t>
      </w:r>
      <w:r>
        <w:rPr>
          <w:rFonts w:hint="eastAsia"/>
          <w:lang w:val="en-US" w:eastAsia="zh-CN"/>
        </w:rPr>
        <w:t xml:space="preserve"> degree</w:t>
      </w:r>
      <w:r>
        <w:t xml:space="preserve"> ambiguity in the carrier recovery would invert all bits in coherent BPSK, whereas differentially decoded BPSK would still produce the correct bit sequence except possibly the first bit.</w:t>
      </w:r>
    </w:p>
    <w:p w14:paraId="19C02BD4">
      <w:pPr>
        <w:pStyle w:val="17"/>
      </w:pPr>
      <w:r>
        <w:t xml:space="preserve">However, there are notable </w:t>
      </w:r>
      <w:r>
        <w:rPr>
          <w:b w:val="0"/>
          <w:bCs w:val="0"/>
        </w:rPr>
        <w:t>trade-offs</w:t>
      </w:r>
      <w:r>
        <w:t xml:space="preserve"> with DBPSK. First, it incurs a performance penalty in SNR: the BER of non-coherently detected DBPSK in AWGN is approximately about a 3 dB loss relative to coherent BPSK’s performance. In other words, to achieve the same error rate, a differential scheme needs roughly twice the energy per bit that coherent BPSK would require. This is the price for avoiding a phase-locked loop. Additionally, differential detection has an error multiplication effect: one erroneous symbol can potentially cause two bit errors after differential decoding (the current and subsequent bit), although with low raw BER this effect is minor. Another concern is</w:t>
      </w:r>
      <w:r>
        <w:rPr>
          <w:rFonts w:hint="default" w:ascii="Times New Roman" w:hAnsi="Times New Roman" w:cs="Times New Roman"/>
          <w:b w:val="0"/>
          <w:bCs w:val="0"/>
        </w:rPr>
        <w:t xml:space="preserve"> frequency offset sensitivity: while DBPSK is more tolerant of constant phase offsets, a large CFO can still degrade DBPSK</w:t>
      </w:r>
      <w:r>
        <w:t xml:space="preserve"> because the phase difference per symbol will include an accumulating offset. If a CFO causes a phase rotation of,  the differential detector output is the sum of the modulation phase (0 or π) . DBPSK works best when the symbol rate is high compared to any residual frequency error, or after partial CFO correction. In summary, DBPSK provides </w:t>
      </w:r>
      <w:r>
        <w:rPr>
          <w:b/>
          <w:bCs/>
        </w:rPr>
        <w:t>good resistance to phase noise and fading</w:t>
      </w:r>
      <w:r>
        <w:t xml:space="preserve"> – for example, in fast-fading or phase-varying channels, differential detection can outperform coherent detection which struggles to track rapid phase changes. It is noted that differential schemes have been found to suffer less from </w:t>
      </w:r>
      <w:r>
        <w:rPr>
          <w:b/>
          <w:bCs/>
        </w:rPr>
        <w:t>multipath phase distortion</w:t>
      </w:r>
      <w:r>
        <w:t xml:space="preserve"> under certain conditions, especially if the symbol duration is short relative to channel coherence time, since the differential operation can cancel common phase shifts affecting consecutive symbols. This makes DBPSK potentially attractive for scenarios with moving tags or rich multipath (e.g., outdoor environments with Device C at moderate speeds), as the contribution of a sudden phase flip by a reflector might be mitigated if it affects two consecutive symbols similarly. Nonetheless, DBPSK remains </w:t>
      </w:r>
      <w:r>
        <w:rPr>
          <w:b/>
          <w:bCs/>
        </w:rPr>
        <w:t>sensitive to frequency and amplitude variations</w:t>
      </w:r>
      <w:r>
        <w:t>: large frequency offsets as discussed will degrade it, and amplitude fluctuations (fading) still reduce SNR like in any scheme – moreover, a deep fade spanning two consecutive symbols can cause errors that differential decoding cannot correct.</w:t>
      </w:r>
    </w:p>
    <w:p w14:paraId="711FD08A">
      <w:pPr>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val="en-US" w:eastAsia="zh-CN"/>
        </w:rPr>
        <w:t xml:space="preserve">Observation 2: </w:t>
      </w:r>
      <w:r>
        <w:rPr>
          <w:rFonts w:hint="default" w:ascii="Times New Roman Bold Italic" w:hAnsi="Times New Roman Bold Italic" w:cs="Times New Roman Bold Italic"/>
          <w:b/>
          <w:bCs/>
          <w:i/>
          <w:iCs/>
        </w:rPr>
        <w:t>DBPSK could be useful if we wish to avoid requiring phase tracking at the reader (maybe in scenarios where the reader is limited or to provide a fallback under high CFO conditions). It provides improved resilience to phase ambiguities and potentially to fast channel variations, at the cost of ~3 dB performance loss.</w:t>
      </w:r>
    </w:p>
    <w:p w14:paraId="22D007DD">
      <w:pPr>
        <w:pStyle w:val="17"/>
      </w:pPr>
    </w:p>
    <w:p w14:paraId="6E4F2AFD">
      <w:pPr>
        <w:pStyle w:val="17"/>
        <w:outlineLvl w:val="3"/>
        <w:rPr>
          <w:rFonts w:hint="default" w:eastAsia="宋体"/>
          <w:b/>
          <w:bCs/>
          <w:lang w:val="en-US" w:eastAsia="zh-CN"/>
        </w:rPr>
      </w:pPr>
      <w:r>
        <w:rPr>
          <w:rFonts w:hint="eastAsia" w:eastAsia="宋体"/>
          <w:b/>
          <w:bCs/>
          <w:lang w:val="en-US" w:eastAsia="zh-CN"/>
        </w:rPr>
        <w:t>2.1.3 MSK</w:t>
      </w:r>
    </w:p>
    <w:p w14:paraId="00C40476">
      <w:pPr>
        <w:pStyle w:val="17"/>
      </w:pPr>
      <w:r>
        <w:t>MSK is a continuous-phase FSK modulation with a frequency separation equal to half the bit rate. It can be viewed as a special case of binary CPFSK with modulation index h = 0.5. In MSK, the frequency deviation is the minimum amount that still ensures orthogonal signaling over the bit interval, hence the name “minimum shift.” An MSK signal can be described by:</w:t>
      </w:r>
    </w:p>
    <w:p w14:paraId="393DF5BA">
      <w:pPr>
        <w:pStyle w:val="17"/>
      </w:pPr>
      <m:oMathPara>
        <m:oMathParaPr>
          <m:jc m:val="center"/>
        </m:oMathParaPr>
        <m:oMath>
          <m:sSub>
            <m:sSubPr/>
            <m:e>
              <m:r>
                <m:rPr/>
                <m:t>s</m:t>
              </m:r>
            </m:e>
            <m:sub>
              <m:r>
                <m:rPr>
                  <m:nor/>
                  <m:sty m:val="p"/>
                </m:rPr>
                <w:rPr>
                  <w:b w:val="0"/>
                  <w:i w:val="0"/>
                </w:rPr>
                <m:t>MSK</m:t>
              </m:r>
            </m:sub>
          </m:sSub>
          <m:d>
            <m:dPr>
              <m:sepChr m:val=""/>
            </m:dPr>
            <m:e>
              <m:r>
                <m:rPr/>
                <m:t>t</m:t>
              </m:r>
            </m:e>
          </m:d>
          <m:r>
            <m:rPr>
              <m:sty m:val="p"/>
            </m:rPr>
            <m:t>=</m:t>
          </m:r>
          <m:rad>
            <m:radPr>
              <m:degHide m:val="1"/>
            </m:radPr>
            <m:deg/>
            <m:e>
              <m:f>
                <m:fPr/>
                <m:num>
                  <m:r>
                    <m:rPr/>
                    <m:t>2</m:t>
                  </m:r>
                  <m:sSub>
                    <m:sSubPr/>
                    <m:e>
                      <m:r>
                        <m:rPr/>
                        <m:t>E</m:t>
                      </m:r>
                    </m:e>
                    <m:sub>
                      <m:r>
                        <m:rPr/>
                        <m:t>b</m:t>
                      </m:r>
                    </m:sub>
                  </m:sSub>
                </m:num>
                <m:den>
                  <m:sSub>
                    <m:sSubPr/>
                    <m:e>
                      <m:r>
                        <m:rPr/>
                        <m:t>T</m:t>
                      </m:r>
                    </m:e>
                    <m:sub>
                      <m:r>
                        <m:rPr/>
                        <m:t>b</m:t>
                      </m:r>
                    </m:sub>
                  </m:sSub>
                </m:den>
              </m:f>
            </m:e>
          </m:rad>
          <m:r>
            <m:rPr>
              <m:sty m:val="p"/>
            </m:rPr>
            <m:t>cos</m:t>
          </m:r>
          <m:r>
            <m:rPr/>
            <m:t>​</m:t>
          </m:r>
          <m:d>
            <m:dPr>
              <m:sepChr m:val=""/>
            </m:dPr>
            <m:e>
              <m:r>
                <m:rPr/>
                <m:t>2π</m:t>
              </m:r>
              <m:sSub>
                <m:sSubPr/>
                <m:e>
                  <m:r>
                    <m:rPr/>
                    <m:t>f</m:t>
                  </m:r>
                </m:e>
                <m:sub>
                  <m:r>
                    <m:rPr/>
                    <m:t>c</m:t>
                  </m:r>
                </m:sub>
              </m:sSub>
              <m:r>
                <m:rPr/>
                <m:t>t</m:t>
              </m:r>
              <m:r>
                <m:rPr>
                  <m:sty m:val="p"/>
                </m:rPr>
                <m:t>+</m:t>
              </m:r>
              <m:r>
                <m:rPr/>
                <m:t>πℎ</m:t>
              </m:r>
              <m:nary>
                <m:naryPr>
                  <m:chr m:val="∑"/>
                  <m:limLoc m:val="undOvr"/>
                  <m:supHide m:val="1"/>
                </m:naryPr>
                <m:sub>
                  <m:r>
                    <m:rPr/>
                    <m:t>k</m:t>
                  </m:r>
                </m:sub>
                <m:sup>
                  <m:r>
                    <m:rPr/>
                    <m:t>​</m:t>
                  </m:r>
                </m:sup>
                <m:e>
                  <m:sSub>
                    <m:sSubPr/>
                    <m:e>
                      <m:r>
                        <m:rPr/>
                        <m:t>a</m:t>
                      </m:r>
                    </m:e>
                    <m:sub>
                      <m:r>
                        <m:rPr/>
                        <m:t>k</m:t>
                      </m:r>
                    </m:sub>
                  </m:sSub>
                </m:e>
              </m:nary>
              <m:r>
                <m:rPr/>
                <m:t>g</m:t>
              </m:r>
              <m:d>
                <m:dPr>
                  <m:sepChr m:val=""/>
                </m:dPr>
                <m:e>
                  <m:r>
                    <m:rPr/>
                    <m:t>t</m:t>
                  </m:r>
                  <m:r>
                    <m:rPr>
                      <m:sty m:val="p"/>
                    </m:rPr>
                    <m:t>−</m:t>
                  </m:r>
                  <m:r>
                    <m:rPr/>
                    <m:t>k</m:t>
                  </m:r>
                  <m:sSub>
                    <m:sSubPr/>
                    <m:e>
                      <m:r>
                        <m:rPr/>
                        <m:t>T</m:t>
                      </m:r>
                    </m:e>
                    <m:sub>
                      <m:r>
                        <m:rPr/>
                        <m:t>b</m:t>
                      </m:r>
                    </m:sub>
                  </m:sSub>
                </m:e>
              </m:d>
            </m:e>
          </m:d>
          <m:r>
            <m:rPr>
              <m:sty m:val="p"/>
            </m:rPr>
            <m:t>,</m:t>
          </m:r>
        </m:oMath>
      </m:oMathPara>
    </w:p>
    <w:p w14:paraId="063BAC62">
      <w:pPr>
        <w:pStyle w:val="83"/>
      </w:pPr>
      <w:r>
        <w:t>where</w:t>
      </w:r>
      <w:r>
        <w:rPr>
          <w:rFonts w:hint="default"/>
          <w:lang w:val="en-US"/>
        </w:rPr>
        <w:t xml:space="preserve"> </w:t>
      </w:r>
      <w:r>
        <w:rPr>
          <w:rFonts w:hint="default" w:ascii="Times New Roman Italic" w:hAnsi="Times New Roman Italic" w:cs="Times New Roman Italic"/>
          <w:i/>
          <w:iCs/>
          <w:lang w:val="en-US"/>
        </w:rPr>
        <w:t>a</w:t>
      </w:r>
      <w:r>
        <w:rPr>
          <w:rFonts w:hint="default"/>
          <w:vertAlign w:val="subscript"/>
          <w:lang w:val="en-US"/>
        </w:rPr>
        <w:t>k</w:t>
      </w:r>
      <w:r>
        <w:rPr>
          <w:rFonts w:hint="default" w:ascii="Times New Roman" w:hAnsi="Times New Roman" w:cs="Times New Roman"/>
          <w:vertAlign w:val="baseline"/>
          <w:lang w:val="en-US"/>
        </w:rPr>
        <w:t>ϵ</w:t>
      </w:r>
      <w:r>
        <w:rPr>
          <w:rFonts w:hint="default" w:ascii="Times New Roman Regular" w:hAnsi="Times New Roman Regular" w:cs="Times New Roman Regular"/>
          <w:vertAlign w:val="baseline"/>
          <w:lang w:val="en-US" w:eastAsia="zh-CN"/>
        </w:rPr>
        <w:t>±1</w:t>
      </w:r>
      <w:r>
        <w:t xml:space="preserve"> are the data bits mapped to </w:t>
      </w:r>
      <w:r>
        <w:drawing>
          <wp:inline distT="0" distB="0" distL="114300" distR="114300">
            <wp:extent cx="629920" cy="112395"/>
            <wp:effectExtent l="0" t="0" r="5080" b="14605"/>
            <wp:docPr id="3" name="334E55B0-647D-440b-865C-3EC943EB4CBC-1" descr="wps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34E55B0-647D-440b-865C-3EC943EB4CBC-1" descr="wpsoffice"/>
                    <pic:cNvPicPr>
                      <a:picLocks noChangeAspect="1"/>
                    </pic:cNvPicPr>
                  </pic:nvPicPr>
                  <pic:blipFill>
                    <a:blip r:embed="rId6"/>
                    <a:stretch>
                      <a:fillRect/>
                    </a:stretch>
                  </pic:blipFill>
                  <pic:spPr>
                    <a:xfrm>
                      <a:off x="0" y="0"/>
                      <a:ext cx="629920" cy="112395"/>
                    </a:xfrm>
                    <a:prstGeom prst="rect">
                      <a:avLst/>
                    </a:prstGeom>
                  </pic:spPr>
                </pic:pic>
              </a:graphicData>
            </a:graphic>
          </wp:inline>
        </w:drawing>
      </w:r>
      <w:r>
        <w:t xml:space="preserve"> for MSK, and g(t) is a rectangular pulse shaping function over [0, T</w:t>
      </w:r>
      <w:r>
        <w:rPr>
          <w:vertAlign w:val="subscript"/>
        </w:rPr>
        <w:t>b</w:t>
      </w:r>
      <w:r>
        <w:t xml:space="preserve">]. This formulation means that for a ‘1’ the instantaneous frequency is </w:t>
      </w:r>
      <w:r>
        <w:drawing>
          <wp:inline distT="0" distB="0" distL="114300" distR="114300">
            <wp:extent cx="400685" cy="156210"/>
            <wp:effectExtent l="0" t="0" r="5715" b="21590"/>
            <wp:docPr id="4" name="334E55B0-647D-440b-865C-3EC943EB4CBC-2" descr="wps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34E55B0-647D-440b-865C-3EC943EB4CBC-2" descr="wpsoffice"/>
                    <pic:cNvPicPr>
                      <a:picLocks noChangeAspect="1"/>
                    </pic:cNvPicPr>
                  </pic:nvPicPr>
                  <pic:blipFill>
                    <a:blip r:embed="rId7"/>
                    <a:stretch>
                      <a:fillRect/>
                    </a:stretch>
                  </pic:blipFill>
                  <pic:spPr>
                    <a:xfrm>
                      <a:off x="0" y="0"/>
                      <a:ext cx="400685" cy="156210"/>
                    </a:xfrm>
                    <a:prstGeom prst="rect">
                      <a:avLst/>
                    </a:prstGeom>
                  </pic:spPr>
                </pic:pic>
              </a:graphicData>
            </a:graphic>
          </wp:inline>
        </w:drawing>
      </w:r>
      <w:r>
        <w:t xml:space="preserve"> and for a ‘0’ it is </w:t>
      </w:r>
      <w:r>
        <w:drawing>
          <wp:inline distT="0" distB="0" distL="114300" distR="114300">
            <wp:extent cx="481965" cy="187960"/>
            <wp:effectExtent l="0" t="0" r="635" b="15240"/>
            <wp:docPr id="2" name="334E55B0-647D-440b-865C-3EC943EB4CBC-3" descr="wps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34E55B0-647D-440b-865C-3EC943EB4CBC-3" descr="wpsoffice"/>
                    <pic:cNvPicPr>
                      <a:picLocks noChangeAspect="1"/>
                    </pic:cNvPicPr>
                  </pic:nvPicPr>
                  <pic:blipFill>
                    <a:blip r:embed="rId8"/>
                    <a:stretch>
                      <a:fillRect/>
                    </a:stretch>
                  </pic:blipFill>
                  <pic:spPr>
                    <a:xfrm>
                      <a:off x="0" y="0"/>
                      <a:ext cx="481965" cy="187960"/>
                    </a:xfrm>
                    <a:prstGeom prst="rect">
                      <a:avLst/>
                    </a:prstGeom>
                  </pic:spPr>
                </pic:pic>
              </a:graphicData>
            </a:graphic>
          </wp:inline>
        </w:drawing>
      </w:r>
      <w:r>
        <w:t xml:space="preserve"> (since  </w:t>
      </w:r>
      <w:r>
        <w:rPr>
          <w:rFonts w:hint="default" w:ascii="Times New Roman Regular" w:hAnsi="Times New Roman Regular" w:cs="Times New Roman Regular"/>
          <w:vertAlign w:val="baseline"/>
          <w:lang w:val="en-US" w:eastAsia="zh-CN"/>
        </w:rPr>
        <w:t>±1</w:t>
      </w:r>
      <w:r>
        <w:rPr>
          <w:rFonts w:hint="eastAsia" w:ascii="Times New Roman Regular" w:hAnsi="Times New Roman Regular" w:cs="Times New Roman Regular"/>
          <w:vertAlign w:val="baseline"/>
          <w:lang w:val="en-US" w:eastAsia="zh-CN"/>
        </w:rPr>
        <w:t xml:space="preserve"> </w:t>
      </w:r>
      <w:r>
        <w:t xml:space="preserve">bits contribute </w:t>
      </w:r>
      <w:r>
        <w:drawing>
          <wp:inline distT="0" distB="0" distL="114300" distR="114300">
            <wp:extent cx="417830" cy="128905"/>
            <wp:effectExtent l="0" t="0" r="13970" b="23495"/>
            <wp:docPr id="6" name="334E55B0-647D-440b-865C-3EC943EB4CBC-4" descr="wps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34E55B0-647D-440b-865C-3EC943EB4CBC-4" descr="wpsoffice"/>
                    <pic:cNvPicPr>
                      <a:picLocks noChangeAspect="1"/>
                    </pic:cNvPicPr>
                  </pic:nvPicPr>
                  <pic:blipFill>
                    <a:blip r:embed="rId9"/>
                    <a:stretch>
                      <a:fillRect/>
                    </a:stretch>
                  </pic:blipFill>
                  <pic:spPr>
                    <a:xfrm>
                      <a:off x="0" y="0"/>
                      <a:ext cx="417830" cy="128905"/>
                    </a:xfrm>
                    <a:prstGeom prst="rect">
                      <a:avLst/>
                    </a:prstGeom>
                  </pic:spPr>
                </pic:pic>
              </a:graphicData>
            </a:graphic>
          </wp:inline>
        </w:drawing>
      </w:r>
      <w:r>
        <w:t xml:space="preserve"> frequency deviation). For h=0.5 the frequency separation is </w:t>
      </w:r>
      <w:r>
        <w:drawing>
          <wp:inline distT="0" distB="0" distL="114300" distR="114300">
            <wp:extent cx="567055" cy="184150"/>
            <wp:effectExtent l="0" t="0" r="17145" b="19050"/>
            <wp:docPr id="7" name="334E55B0-647D-440b-865C-3EC943EB4CBC-5" descr="wps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334E55B0-647D-440b-865C-3EC943EB4CBC-5" descr="wpsoffice"/>
                    <pic:cNvPicPr>
                      <a:picLocks noChangeAspect="1"/>
                    </pic:cNvPicPr>
                  </pic:nvPicPr>
                  <pic:blipFill>
                    <a:blip r:embed="rId10"/>
                    <a:stretch>
                      <a:fillRect/>
                    </a:stretch>
                  </pic:blipFill>
                  <pic:spPr>
                    <a:xfrm>
                      <a:off x="0" y="0"/>
                      <a:ext cx="567055" cy="184150"/>
                    </a:xfrm>
                    <a:prstGeom prst="rect">
                      <a:avLst/>
                    </a:prstGeom>
                  </pic:spPr>
                </pic:pic>
              </a:graphicData>
            </a:graphic>
          </wp:inline>
        </w:drawing>
      </w:r>
      <w:r>
        <w:t xml:space="preserve"> on each side of the carrier, which corresponds to a difference of</w:t>
      </w:r>
      <w:r>
        <w:rPr>
          <w:rFonts w:hint="default" w:ascii="Times New Roman" w:hAnsi="Times New Roman" w:cs="Times New Roman"/>
          <w:b w:val="0"/>
          <w:bCs w:val="0"/>
        </w:rPr>
        <w:t xml:space="preserve"> half a cycle per bit period between the two binary frequency tones. Equivalently, MSK can be seen as an orthogonal FSK</w:t>
      </w:r>
      <w:r>
        <w:t xml:space="preserve"> with continuous phase: it is mathematically equivalent to an offset QPSK (OQPSK) with a sinusoidal pulse shape. Importantly, MSK’s phase continuity means the phase of the carrier is never abruptly discontinuous from one bit to the next – instead, it changes smoothly. This yields a </w:t>
      </w:r>
      <w:r>
        <w:rPr>
          <w:rFonts w:hint="default" w:ascii="Times New Roman" w:hAnsi="Times New Roman" w:cs="Times New Roman"/>
          <w:b w:val="0"/>
          <w:bCs w:val="0"/>
        </w:rPr>
        <w:t xml:space="preserve">constant-envelope signal with a narrower main spectral lobe and very low side-lobe levels compared to OOK or BPSK with rectangular pulses. The spectral efficiency </w:t>
      </w:r>
      <w:r>
        <w:t>of MSK is high for a binary modulation: its main lobe is compact, and it fits into a narrow bandwidth (the minimum theoretical bandwidth for orthogonal binary signaling). In fact, MSK’s occupied bandwidth is similar to BPSK’s, but because of the continuous phase, it avoids the high sideband splatter that OOK or BPSK (with abrupt phase flips) might produce. This can be beneficial for Ambient IoT devices which operate in potentially crowded sub-GHz bands – MSK can reduce interference to adjacent channels due to its spectral containment.</w:t>
      </w:r>
    </w:p>
    <w:p w14:paraId="59DBD9AA">
      <w:pPr>
        <w:pStyle w:val="17"/>
      </w:pPr>
      <w:r>
        <w:t xml:space="preserve">The </w:t>
      </w:r>
      <w:r>
        <w:rPr>
          <w:b w:val="0"/>
          <w:bCs w:val="0"/>
        </w:rPr>
        <w:t>downsides</w:t>
      </w:r>
      <w:r>
        <w:t xml:space="preserve"> of MSK in the Ambient IoT context relate to complexity and synchronization. Generating MSK in the device requires a modulator that can smoothly transition frequency every bit without resetting phase. This is a bit more complex than toggling a phase or gating a carrier on/off. The device’s synthesizer or oscillator would need to support rapid but controlled frequency shifts or an equivalent baseband shaping. For instance, an MSK modulator could be implemented by shifting the oscillator between two frequencies </w:t>
      </w:r>
      <w:r>
        <w:drawing>
          <wp:inline distT="0" distB="0" distL="114300" distR="114300">
            <wp:extent cx="447040" cy="120015"/>
            <wp:effectExtent l="0" t="0" r="10160" b="6985"/>
            <wp:docPr id="12" name="334E55B0-647D-440b-865C-3EC943EB4CBC-6" descr="wps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334E55B0-647D-440b-865C-3EC943EB4CBC-6" descr="wpsoffice"/>
                    <pic:cNvPicPr>
                      <a:picLocks noChangeAspect="1"/>
                    </pic:cNvPicPr>
                  </pic:nvPicPr>
                  <pic:blipFill>
                    <a:blip r:embed="rId11"/>
                    <a:stretch>
                      <a:fillRect/>
                    </a:stretch>
                  </pic:blipFill>
                  <pic:spPr>
                    <a:xfrm>
                      <a:off x="0" y="0"/>
                      <a:ext cx="447040" cy="120015"/>
                    </a:xfrm>
                    <a:prstGeom prst="rect">
                      <a:avLst/>
                    </a:prstGeom>
                  </pic:spPr>
                </pic:pic>
              </a:graphicData>
            </a:graphic>
          </wp:inline>
        </w:drawing>
      </w:r>
      <w:r>
        <w:t xml:space="preserve"> for each bit, with phase continuity ensured by the timing of the switching. Alternatively, the device could generate MSK by an I/Q baseband approach: MSK can be created as OQPSK with a half-sine pulse shape, which might require a small DSP or analog shaping network. These are more involved than the simple switch logic of OOK or BPSK. Moreover, the reader’s receiver for MSK ideally needs a coherent FSK demodulator (like a frequency discriminator followed by phase tracker or a matched filter bank for the two tones). If the reader is already capable of coherent BPSK detection, adding MSK capability is not too difficult, but it must estimate frequency states rather than just phase states.</w:t>
      </w:r>
    </w:p>
    <w:p w14:paraId="7E01DFE3">
      <w:pPr>
        <w:pStyle w:val="17"/>
      </w:pPr>
      <w:r>
        <w:rPr>
          <w:b/>
          <w:bCs/>
        </w:rPr>
        <w:t>Carrier frequency offset impact on MSK:</w:t>
      </w:r>
      <w:r>
        <w:t xml:space="preserve"> MSK relies on the frequency difference between two symbols being exactly known</w:t>
      </w:r>
      <w:r>
        <w:rPr>
          <w:rFonts w:hint="default" w:ascii="Times New Roman" w:hAnsi="Times New Roman" w:cs="Times New Roman"/>
          <w:b w:val="0"/>
          <w:bCs w:val="0"/>
        </w:rPr>
        <w:t xml:space="preserve"> (half the bit rate). A large CFO will shift the entire signal’s frequency and can also destroy the orthogonality between the two FSK tones. For instance, if the device’s oscillator is off by</w:t>
      </w:r>
      <w:r>
        <w:t xml:space="preserve"> a fraction of the tone separation, the frequencies received will not match the expected pair of frequencies at the reader, causing intersymbol interference and degraded correlation in the demodulator. MSK can tolerate some offset by using a frequency acquisition loop (the reader could track the average frequency), but if CFO is comparable to the tone separation , it can be disastrous: the two symbols’ frequencies might overlap with where the other is expected, confusing the detector. In Ambient IoT, initial CFO could be very large (on the order of tens of kHz or more, as Device 2b/C may have ±ppm errors), so using MSK robustly would</w:t>
      </w:r>
      <w:r>
        <w:rPr>
          <w:rFonts w:hint="default" w:ascii="Times New Roman" w:hAnsi="Times New Roman" w:cs="Times New Roman"/>
          <w:b w:val="0"/>
          <w:bCs w:val="0"/>
        </w:rPr>
        <w:t xml:space="preserve"> require CFO pre-compensation or tight synchronization.</w:t>
      </w:r>
      <w:r>
        <w:t xml:space="preserve"> In Rel-19 Device 1, CFO was not an issue because the device didn’t generate its own RF frequency (backscatter just reflects the reader’s carrier, so frequency error is only a small “SFO” from timing). But Device 2b/C introduces true CFO. Given that, the performance of MSK in presence of large CFO must be carefully evaluated. Without calibration, MSK might actually perform worse than simpler schemes, because a slight frequency offset effectively misaligns the demodulation frequencies and can lead to significant error floors. This concern was explicitly</w:t>
      </w:r>
      <w:r>
        <w:rPr>
          <w:rFonts w:hint="default" w:ascii="Times New Roman" w:hAnsi="Times New Roman" w:cs="Times New Roman"/>
          <w:i w:val="0"/>
          <w:iCs w:val="0"/>
        </w:rPr>
        <w:t xml:space="preserve"> noted: “due to the large CFO, the performance of MSK needs further evaluation”. Only if CFO can be reduced (via calibration signals or high stability oscillators) would MSK approach its ideal performance.</w:t>
      </w:r>
    </w:p>
    <w:p w14:paraId="50D865AF">
      <w:pPr>
        <w:pStyle w:val="17"/>
        <w:rPr>
          <w:rFonts w:hint="default" w:ascii="Times New Roman Bold Italic" w:hAnsi="Times New Roman Bold Italic" w:cs="Times New Roman Bold Italic"/>
          <w:b/>
          <w:bCs/>
          <w:i/>
          <w:iCs/>
        </w:rPr>
      </w:pPr>
      <w:r>
        <w:t xml:space="preserve">Another consideration is that </w:t>
      </w:r>
      <w:r>
        <w:rPr>
          <w:b w:val="0"/>
          <w:bCs w:val="0"/>
        </w:rPr>
        <w:t>MSK is effectively a form of CPM</w:t>
      </w:r>
      <w:r>
        <w:t>, which typically requires coherent detection for full performance. Non-coherent detection of MSK is possible (e.g. discriminator detection), but then some of the performance and spectral advantages may be lost. The RAN1 agreement left it open whether MSK would be used with coherent or non-coherent detection at the reader. Coherent MSK would need a phase synchronizer just like BPSK (possibly aided by preamble), plus perhaps a frequency tracking loop for any residual offset. Non-coherent detection (like an energy detector tuned to the tone frequencies) would simplify the reader but incur a performance penalty (similar to comparing coherent vs non-coherent FSK). Given that the reader is expected to be powerful, coherent demodulation of MSK is likely preferred if MSK is adopted. But that loops back to requiring CFO be minimal.</w:t>
      </w:r>
    </w:p>
    <w:p w14:paraId="2C39F325">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Observation 3: If CFO calibration techniques (discussed later) are effective, MSK could be a viable option. It would allow narrow bandwidth operation and potentially higher data rate in the same bandwidth compared to OOK</w:t>
      </w:r>
    </w:p>
    <w:p w14:paraId="13CCF3E1">
      <w:pPr>
        <w:rPr>
          <w:rFonts w:hint="eastAsia"/>
          <w:b/>
          <w:bCs/>
          <w:lang w:eastAsia="zh-CN"/>
        </w:rPr>
      </w:pPr>
    </w:p>
    <w:p w14:paraId="581E82F3">
      <w:pPr>
        <w:outlineLvl w:val="3"/>
        <w:rPr>
          <w:rFonts w:hint="default"/>
          <w:b/>
          <w:bCs/>
          <w:lang w:val="en-US" w:eastAsia="zh-CN"/>
        </w:rPr>
      </w:pPr>
      <w:r>
        <w:rPr>
          <w:rFonts w:hint="eastAsia"/>
          <w:b/>
          <w:bCs/>
          <w:lang w:val="en-US" w:eastAsia="zh-CN"/>
        </w:rPr>
        <w:t>2.1.4 1SB vs 2SB</w:t>
      </w:r>
    </w:p>
    <w:p w14:paraId="576D27E4">
      <w:pPr>
        <w:pStyle w:val="17"/>
        <w:rPr>
          <w:rFonts w:hint="default" w:ascii="Times New Roman" w:hAnsi="Times New Roman" w:cs="Times New Roman"/>
          <w:b w:val="0"/>
          <w:bCs w:val="0"/>
        </w:rPr>
      </w:pPr>
      <w:r>
        <w:rPr>
          <w:rFonts w:hint="default" w:ascii="Times New Roman" w:hAnsi="Times New Roman" w:cs="Times New Roman"/>
          <w:b w:val="0"/>
          <w:bCs w:val="0"/>
        </w:rPr>
        <w:t xml:space="preserve">For Rel-20, since devices can act more like traditional transmitters, we prefer them to use a </w:t>
      </w:r>
      <w:r>
        <w:rPr>
          <w:rFonts w:hint="default" w:ascii="Times New Roman" w:hAnsi="Times New Roman" w:cs="Times New Roman"/>
          <w:b w:val="0"/>
          <w:bCs w:val="0"/>
          <w:lang w:val="en-US" w:eastAsia="zh-CN"/>
        </w:rPr>
        <w:t>1SB</w:t>
      </w:r>
      <w:r>
        <w:rPr>
          <w:rFonts w:hint="default" w:ascii="Times New Roman" w:hAnsi="Times New Roman" w:cs="Times New Roman"/>
          <w:b w:val="0"/>
          <w:bCs w:val="0"/>
        </w:rPr>
        <w:t xml:space="preserve"> signal that occupies only the necessary bandwidth. This improves spectral efficiency and potentially allows multiple devices to use different frequency channels without their lower/upper sideband images overlapping. It also eases the reader’s filtering requirements: the reader can focus on the one sideband where the information lies, rather than combining energy from two symmetric bands. Physically, achieving single sideband output might require the device to have an I/Q modulator or a filtering mechanism to suppress the image frequency. But given the low data rates (e.g., a few kbps) and narrowband nature, the device could generate a low-IF signal and filter out the image, or directly synthesize at RF using an I/Q approach. These are moderate complexity additions that Device 2b (with a budget of hundreds of µW) and especially Device C (1–10 mW budget) could handle. Thus, only 1SB D2R transmissions are proposed for the new devices. In fact, it has been agreed that the study will assume single-carrier waveform for D2R going forward, and the decision between using 2SB vs 1SB is left FFS, with a leaning towards 1SB given the above reasoning. No significant benefit for 2SB in active devices has been identified, except possibly if one considered using backscatter modulation as a fallback. If needed, a device could always emulate a 2SB backscatter by intentionally modulating a tone and reflecting it (but that defeats the purpose of having an active TX). Therefore, all analysis supports moving to single sideband transmissions for the active tag uplink.</w:t>
      </w:r>
    </w:p>
    <w:p w14:paraId="113F44A0">
      <w:pPr>
        <w:rPr>
          <w:rFonts w:hint="eastAsia"/>
          <w:b/>
          <w:bCs/>
          <w:lang w:eastAsia="zh-CN"/>
        </w:rPr>
      </w:pPr>
    </w:p>
    <w:p w14:paraId="1789C707">
      <w:pPr>
        <w:rPr>
          <w:rFonts w:hint="eastAsia"/>
          <w:b/>
          <w:bCs/>
          <w:i/>
          <w:iCs/>
          <w:lang w:val="en-US" w:eastAsia="zh-CN"/>
        </w:rPr>
      </w:pPr>
      <w:r>
        <w:rPr>
          <w:rFonts w:hint="eastAsia"/>
          <w:b/>
          <w:bCs/>
          <w:i/>
          <w:iCs/>
          <w:lang w:eastAsia="zh-CN"/>
        </w:rPr>
        <w:t xml:space="preserve">Proposal </w:t>
      </w:r>
      <w:r>
        <w:rPr>
          <w:b/>
          <w:bCs/>
          <w:i/>
          <w:iCs/>
          <w:lang w:eastAsia="zh-CN"/>
        </w:rPr>
        <w:t>1</w:t>
      </w:r>
      <w:r>
        <w:rPr>
          <w:rFonts w:hint="eastAsia"/>
          <w:b/>
          <w:bCs/>
          <w:i/>
          <w:iCs/>
          <w:lang w:eastAsia="zh-CN"/>
        </w:rPr>
        <w:t>:</w:t>
      </w:r>
      <w:r>
        <w:rPr>
          <w:b/>
          <w:bCs/>
          <w:i/>
          <w:iCs/>
          <w:lang w:eastAsia="zh-CN"/>
        </w:rPr>
        <w:t xml:space="preserve"> At least </w:t>
      </w:r>
      <w:r>
        <w:rPr>
          <w:b/>
          <w:bCs/>
          <w:i/>
          <w:iCs/>
          <w:lang w:eastAsia="ko-KR"/>
        </w:rPr>
        <w:t xml:space="preserve">1SB BPSK can be considered for D2R transmission for </w:t>
      </w:r>
      <w:r>
        <w:rPr>
          <w:b/>
          <w:bCs/>
          <w:i/>
          <w:iCs/>
          <w:lang w:eastAsia="zh-CN"/>
        </w:rPr>
        <w:t>device 2b/C.</w:t>
      </w:r>
      <w:r>
        <w:rPr>
          <w:rFonts w:hint="eastAsia"/>
          <w:b/>
          <w:bCs/>
          <w:i/>
          <w:iCs/>
          <w:lang w:val="en-US" w:eastAsia="zh-CN"/>
        </w:rPr>
        <w:t xml:space="preserve"> </w:t>
      </w:r>
    </w:p>
    <w:p w14:paraId="0834284F">
      <w:pPr>
        <w:rPr>
          <w:rFonts w:hint="default" w:ascii="Times New Roman Bold Italic" w:hAnsi="Times New Roman Bold Italic" w:cs="Times New Roman Bold Italic"/>
          <w:b/>
          <w:bCs/>
          <w:i/>
          <w:iCs/>
          <w:lang w:val="en-US" w:eastAsia="zh-CN"/>
        </w:rPr>
      </w:pPr>
      <w:r>
        <w:rPr>
          <w:rFonts w:hint="eastAsia"/>
          <w:b/>
          <w:bCs/>
          <w:i/>
          <w:iCs/>
          <w:lang w:val="en-US" w:eastAsia="zh-CN"/>
        </w:rPr>
        <w:t>Proposal 2: Support 1SB</w:t>
      </w:r>
      <w:r>
        <w:rPr>
          <w:rFonts w:hint="default" w:ascii="Times New Roman Bold Italic" w:hAnsi="Times New Roman Bold Italic" w:cs="Times New Roman Bold Italic"/>
          <w:b/>
          <w:bCs/>
          <w:i/>
          <w:iCs/>
          <w:lang w:val="en-US" w:eastAsia="zh-CN"/>
        </w:rPr>
        <w:t xml:space="preserve"> </w:t>
      </w:r>
      <w:r>
        <w:rPr>
          <w:rFonts w:hint="default" w:ascii="Times New Roman Bold" w:hAnsi="Times New Roman Bold" w:cs="Times New Roman Bold"/>
          <w:b/>
          <w:bCs/>
          <w:i/>
          <w:iCs/>
        </w:rPr>
        <w:t>DBPSK</w:t>
      </w:r>
      <w:r>
        <w:rPr>
          <w:rFonts w:hint="default" w:ascii="Times New Roman Bold Italic" w:hAnsi="Times New Roman Bold Italic" w:cs="Times New Roman Bold Italic"/>
          <w:b/>
          <w:bCs/>
          <w:i/>
          <w:iCs/>
        </w:rPr>
        <w:t xml:space="preserve"> </w:t>
      </w:r>
      <w:r>
        <w:rPr>
          <w:rFonts w:hint="default" w:ascii="Times New Roman Bold" w:hAnsi="Times New Roman Bold" w:cs="Times New Roman Bold"/>
          <w:b/>
          <w:bCs/>
          <w:i/>
          <w:iCs/>
        </w:rPr>
        <w:t xml:space="preserve"> if we wish to avoid requiring phase tracking at the reader</w:t>
      </w:r>
      <w:r>
        <w:rPr>
          <w:rFonts w:hint="default" w:ascii="Times New Roman Bold Italic" w:hAnsi="Times New Roman Bold Italic" w:cs="Times New Roman Bold Italic"/>
          <w:b/>
          <w:bCs/>
          <w:i/>
          <w:iCs/>
          <w:lang w:val="en-US" w:eastAsia="zh-CN"/>
        </w:rPr>
        <w:t>.</w:t>
      </w:r>
      <w:r>
        <w:rPr>
          <w:rFonts w:hint="default" w:ascii="Times New Roman Bold Italic" w:hAnsi="Times New Roman Bold Italic" w:cs="Times New Roman Bold Italic"/>
          <w:b/>
          <w:bCs/>
          <w:i/>
          <w:iCs/>
        </w:rPr>
        <w:t xml:space="preserve"> </w:t>
      </w:r>
    </w:p>
    <w:p w14:paraId="591CCEA4">
      <w:pPr>
        <w:rPr>
          <w:b/>
          <w:bCs/>
          <w:lang w:eastAsia="zh-CN"/>
        </w:rPr>
      </w:pPr>
    </w:p>
    <w:p w14:paraId="1BA50374">
      <w:pPr>
        <w:pStyle w:val="4"/>
        <w:numPr>
          <w:numId w:val="0"/>
        </w:numPr>
        <w:tabs>
          <w:tab w:val="clear" w:pos="720"/>
        </w:tabs>
        <w:ind w:leftChars="0"/>
        <w:rPr>
          <w:sz w:val="24"/>
          <w:szCs w:val="24"/>
          <w:lang w:eastAsia="zh-CN"/>
        </w:rPr>
      </w:pPr>
      <w:r>
        <w:rPr>
          <w:rFonts w:hint="eastAsia"/>
          <w:sz w:val="24"/>
          <w:szCs w:val="24"/>
          <w:lang w:val="en-US" w:eastAsia="zh-CN"/>
        </w:rPr>
        <w:t xml:space="preserve">2.2 </w:t>
      </w:r>
      <w:r>
        <w:rPr>
          <w:rFonts w:hint="eastAsia"/>
          <w:sz w:val="24"/>
          <w:szCs w:val="24"/>
          <w:lang w:eastAsia="zh-CN"/>
        </w:rPr>
        <w:t>Channel</w:t>
      </w:r>
      <w:r>
        <w:rPr>
          <w:sz w:val="24"/>
          <w:szCs w:val="24"/>
          <w:lang w:eastAsia="zh-CN"/>
        </w:rPr>
        <w:t xml:space="preserve"> </w:t>
      </w:r>
      <w:r>
        <w:rPr>
          <w:rFonts w:hint="eastAsia"/>
          <w:sz w:val="24"/>
          <w:szCs w:val="24"/>
          <w:lang w:eastAsia="zh-CN"/>
        </w:rPr>
        <w:t>coding</w:t>
      </w:r>
    </w:p>
    <w:p w14:paraId="24823D8D">
      <w:pPr>
        <w:rPr>
          <w:lang w:eastAsia="zh-CN"/>
        </w:rPr>
      </w:pPr>
      <w:r>
        <w:rPr>
          <w:lang w:eastAsia="zh-CN"/>
        </w:rPr>
        <w:t xml:space="preserve">In last meeting, </w:t>
      </w:r>
      <w:r>
        <w:rPr>
          <w:lang w:eastAsia="ko-KR"/>
        </w:rPr>
        <w:t>the following agreement on D2R channel coding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F316695">
        <w:tc>
          <w:tcPr>
            <w:tcW w:w="9307" w:type="dxa"/>
          </w:tcPr>
          <w:p w14:paraId="03FDF218">
            <w:pPr>
              <w:widowControl w:val="0"/>
              <w:rPr>
                <w:rFonts w:hint="default" w:ascii="Times New Roman Regular" w:hAnsi="Times New Roman Regular" w:cs="Times New Roman Regular"/>
                <w:b/>
                <w:bCs/>
                <w:sz w:val="22"/>
                <w:szCs w:val="22"/>
                <w:lang w:val="en-US"/>
              </w:rPr>
            </w:pPr>
            <w:r>
              <w:rPr>
                <w:rFonts w:hint="default" w:ascii="Times New Roman Regular" w:hAnsi="Times New Roman Regular" w:cs="Times New Roman Regular"/>
                <w:b/>
                <w:bCs/>
                <w:sz w:val="22"/>
                <w:szCs w:val="22"/>
                <w:highlight w:val="green"/>
              </w:rPr>
              <w:t>Agreement</w:t>
            </w:r>
          </w:p>
          <w:p w14:paraId="003BE993">
            <w:pPr>
              <w:widowControl w:val="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 xml:space="preserve">Study interleaving for PDRCH with FEC, including the </w:t>
            </w:r>
            <w:r>
              <w:rPr>
                <w:rFonts w:hint="default" w:ascii="Times New Roman Regular" w:hAnsi="Times New Roman Regular" w:cs="Times New Roman Regular"/>
                <w:sz w:val="22"/>
                <w:szCs w:val="22"/>
                <w:lang w:eastAsia="ko-KR"/>
              </w:rPr>
              <w:t xml:space="preserve">necessity and feasibility of </w:t>
            </w:r>
            <w:r>
              <w:rPr>
                <w:rFonts w:hint="default" w:ascii="Times New Roman Regular" w:hAnsi="Times New Roman Regular" w:cs="Times New Roman Regular"/>
                <w:sz w:val="22"/>
                <w:szCs w:val="22"/>
              </w:rPr>
              <w:t>the following:</w:t>
            </w:r>
          </w:p>
          <w:p w14:paraId="2D8C60AB">
            <w:pPr>
              <w:pStyle w:val="48"/>
              <w:widowControl w:val="0"/>
              <w:numPr>
                <w:ilvl w:val="0"/>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Alt 1: reuse both LTE sub-block interleaver and LTE bit collection scheme</w:t>
            </w:r>
          </w:p>
          <w:p w14:paraId="0733DED1">
            <w:pPr>
              <w:pStyle w:val="48"/>
              <w:widowControl w:val="0"/>
              <w:numPr>
                <w:ilvl w:val="0"/>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Alt 2: reuse LTE bit collection scheme without LTE sub-block interleaver</w:t>
            </w:r>
          </w:p>
          <w:p w14:paraId="0FFF5B28">
            <w:pPr>
              <w:pStyle w:val="48"/>
              <w:widowControl w:val="0"/>
              <w:numPr>
                <w:ilvl w:val="0"/>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Alt 3: based on LTE bit collection scheme with some update (e.g., for memory reduction) without LTE sub-block interleaver</w:t>
            </w:r>
          </w:p>
          <w:p w14:paraId="1AC4CD01">
            <w:pPr>
              <w:pStyle w:val="48"/>
              <w:widowControl w:val="0"/>
              <w:numPr>
                <w:ilvl w:val="0"/>
                <w:numId w:val="9"/>
              </w:numPr>
              <w:spacing w:after="0"/>
              <w:rPr>
                <w:lang w:eastAsia="ko-KR"/>
              </w:rPr>
            </w:pPr>
            <w:r>
              <w:rPr>
                <w:rFonts w:hint="default" w:ascii="Times New Roman Regular" w:hAnsi="Times New Roman Regular" w:cs="Times New Roman Regular"/>
                <w:sz w:val="22"/>
                <w:szCs w:val="22"/>
                <w:lang w:eastAsia="ko-KR"/>
              </w:rPr>
              <w:t>Combination of alternatives can be studied</w:t>
            </w:r>
          </w:p>
          <w:p w14:paraId="22C35992">
            <w:pPr>
              <w:pStyle w:val="48"/>
              <w:widowControl w:val="0"/>
              <w:numPr>
                <w:ilvl w:val="0"/>
                <w:numId w:val="0"/>
              </w:numPr>
              <w:spacing w:after="0"/>
              <w:rPr>
                <w:rFonts w:hint="default" w:ascii="Times New Roman Regular" w:hAnsi="Times New Roman Regular" w:cs="Times New Roman Regular"/>
                <w:sz w:val="22"/>
                <w:szCs w:val="22"/>
                <w:lang w:eastAsia="ko-KR"/>
              </w:rPr>
            </w:pPr>
          </w:p>
          <w:p w14:paraId="6E92DE77">
            <w:pPr>
              <w:widowControl w:val="0"/>
              <w:rPr>
                <w:rFonts w:hint="default" w:ascii="Times New Roman Regular" w:hAnsi="Times New Roman Regular" w:cs="Times New Roman Regular"/>
                <w:b/>
                <w:sz w:val="22"/>
                <w:szCs w:val="22"/>
              </w:rPr>
            </w:pPr>
            <w:r>
              <w:rPr>
                <w:rFonts w:hint="default" w:ascii="Times New Roman Regular" w:hAnsi="Times New Roman Regular" w:cs="Times New Roman Regular"/>
                <w:b/>
                <w:sz w:val="22"/>
                <w:szCs w:val="22"/>
                <w:highlight w:val="green"/>
              </w:rPr>
              <w:t>Agreement</w:t>
            </w:r>
          </w:p>
          <w:p w14:paraId="271098AD">
            <w:pPr>
              <w:pStyle w:val="48"/>
              <w:widowControl w:val="0"/>
              <w:numPr>
                <w:ilvl w:val="0"/>
                <w:numId w:val="0"/>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rPr>
              <w:t xml:space="preserve">For R2D and D2R, study the order of channel coding (including interleaver if supported) and block-level repetition (if supported) for complexity reduction, considering necessity and feasibility. </w:t>
            </w:r>
          </w:p>
        </w:tc>
      </w:tr>
    </w:tbl>
    <w:p w14:paraId="2656DDC8">
      <w:pPr>
        <w:rPr>
          <w:rFonts w:hint="eastAsia" w:eastAsia="宋体"/>
          <w:b/>
          <w:bCs/>
          <w:lang w:val="en-US" w:eastAsia="zh-CN"/>
        </w:rPr>
      </w:pPr>
      <w:r>
        <w:t>In Release-19, the only FEC coding supported for Ambient IoT D2R was a simple convolutional code with an eff</w:t>
      </w:r>
      <w:r>
        <w:rPr>
          <w:rFonts w:hint="default" w:ascii="Times New Roman" w:hAnsi="Times New Roman" w:cs="Times New Roman"/>
          <w:b w:val="0"/>
          <w:bCs w:val="0"/>
          <w:i w:val="0"/>
          <w:iCs w:val="0"/>
        </w:rPr>
        <w:t>ective coding rate of 1/3 (after repeating and puncturing to fit message lengths). The design philosophy was to use a robust low-rate code to maximize link reliability for the ultra-low-power Device 1. As we move to Device 2b/C in Rel-20, there is interest in supporting even lower coding rates (i.e., more redundancy) to improve coverage and reliability for challenging outdoor scenarios. By adding more redundancy (lower code rate), the device’s messages can be decoded at the reader under lower SNR conditions, effectively extending range or overcoming deeper fading. Indeed, lower coding rate can improve performance by providing additional error correction capability, which translates to better coverage (distance or penetration) and higher reliability in noisy conditions. The contribution already notes that lower coding rates “provide better coverage and reliability for outdoor scenarios” and suggests that such lower rates be considered in Rel-20</w:t>
      </w:r>
      <w:r>
        <w:rPr>
          <w:rFonts w:hint="default" w:ascii="Times New Roman" w:hAnsi="Times New Roman" w:cs="Times New Roman"/>
          <w:b w:val="0"/>
          <w:bCs w:val="0"/>
          <w:i w:val="0"/>
          <w:iCs w:val="0"/>
          <w:lang w:val="en-US" w:eastAsia="zh-CN"/>
        </w:rPr>
        <w:t>.</w:t>
      </w:r>
    </w:p>
    <w:p w14:paraId="607F0219">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3</w:t>
      </w:r>
      <w:r>
        <w:rPr>
          <w:rFonts w:hint="default" w:ascii="Times New Roman Bold Italic" w:hAnsi="Times New Roman Bold Italic" w:cs="Times New Roman Bold Italic"/>
          <w:b/>
          <w:bCs/>
          <w:i/>
          <w:iCs/>
          <w:lang w:eastAsia="zh-CN"/>
        </w:rPr>
        <w:t>: FEC with lower coding rate</w:t>
      </w:r>
      <w:r>
        <w:rPr>
          <w:rFonts w:hint="default" w:ascii="Times New Roman Bold Italic" w:hAnsi="Times New Roman Bold Italic" w:cs="Times New Roman Bold Italic"/>
          <w:b/>
          <w:bCs/>
          <w:i/>
          <w:iCs/>
          <w:lang w:eastAsia="ko-KR"/>
        </w:rPr>
        <w:t xml:space="preserve"> can be considered for D2R transmission for </w:t>
      </w:r>
      <w:r>
        <w:rPr>
          <w:rFonts w:hint="default" w:ascii="Times New Roman Bold Italic" w:hAnsi="Times New Roman Bold Italic" w:cs="Times New Roman Bold Italic"/>
          <w:b/>
          <w:bCs/>
          <w:i/>
          <w:iCs/>
          <w:lang w:eastAsia="zh-CN"/>
        </w:rPr>
        <w:t>device 2b/C.</w:t>
      </w:r>
    </w:p>
    <w:p w14:paraId="48BDC711">
      <w:pPr>
        <w:rPr>
          <w:b/>
          <w:bCs/>
          <w:lang w:eastAsia="zh-CN"/>
        </w:rPr>
      </w:pPr>
    </w:p>
    <w:p w14:paraId="65D8F880">
      <w:pPr>
        <w:rPr>
          <w:rFonts w:hint="eastAsia"/>
          <w:lang w:val="en-US" w:eastAsia="zh-CN"/>
        </w:rPr>
      </w:pPr>
      <w:r>
        <w:t>To design an effective channel coding scheme for Device 2b/C, we must balance improved error correction with the devices’ complexity constraints. Device 2b has a few hundred µW of peak power – enough to run a simple microcontroller or state machine for coding, but not a powerful DSP. Device C up to 10 mW might manage more complex coding if needed (perhaps even a small hardware encoder/decoder). In Rel-19, a legacy 3GPP TBCC was employed (similar to LTE’s coding for control channels) with rate 1/3 and constraint length likely K=7 (as is common in LTE). This code is relatively simple to implement in hardware (shift registers and XOR gates), which suits low-complexity devices. The study item indicates interest in reusing LTE’s coding infrastructure where possible, such as sub-block interleavers or bit collection methods, but possibly simplifying them to reduce memory usage</w:t>
      </w:r>
      <w:r>
        <w:rPr>
          <w:rFonts w:hint="eastAsia"/>
          <w:lang w:val="en-US" w:eastAsia="zh-CN"/>
        </w:rPr>
        <w:t>.</w:t>
      </w:r>
    </w:p>
    <w:p w14:paraId="50D831B9">
      <w:pPr>
        <w:numPr>
          <w:ilvl w:val="0"/>
          <w:numId w:val="0"/>
        </w:numPr>
      </w:pPr>
      <w:r>
        <w:t>For D2R in Device 2b/C, one suggestion is to</w:t>
      </w:r>
      <w:r>
        <w:rPr>
          <w:rFonts w:hint="default" w:ascii="Times New Roman" w:hAnsi="Times New Roman" w:cs="Times New Roman"/>
          <w:b w:val="0"/>
          <w:bCs w:val="0"/>
        </w:rPr>
        <w:t xml:space="preserve"> allow rates lower than 1/3, such as 1/5 or 1/6.Use the existing convolutional encoder but increase the repetition or puncturing pattern to yield a lower rate. For example, the LTE TBCC is rate-1/3 by default. To get an effective 1/6 rate, the device could repeat each coded bit twice (or transmit two block repetitions and combine them, which is effectively rate-halving). Alternatively, it could concatenate two convolutional code outputs (though typically convolutional codes of much lower rate can be made by using a longer constraint length or concatenating codes, which increases complexity significantly). The simpler approach is block-level repetition</w:t>
      </w:r>
      <w:r>
        <w:t xml:space="preserve"> which we will discuss later (Section 2.4) – repeating the entire codeword or portions of it to lower the information rate.</w:t>
      </w:r>
    </w:p>
    <w:p w14:paraId="5F2306CE">
      <w:pPr>
        <w:pStyle w:val="83"/>
        <w:rPr>
          <w:rFonts w:ascii="Times New Roman" w:hAnsi="Times New Roman" w:eastAsia="宋体" w:cs="Times New Roman"/>
          <w:sz w:val="22"/>
          <w:szCs w:val="22"/>
          <w:lang w:val="en-US" w:eastAsia="en-US" w:bidi="ar-SA"/>
        </w:rPr>
      </w:pPr>
      <w:r>
        <w:rPr>
          <w:rFonts w:ascii="Times New Roman" w:hAnsi="Times New Roman" w:eastAsia="宋体" w:cs="Times New Roman"/>
          <w:sz w:val="22"/>
          <w:szCs w:val="22"/>
          <w:lang w:val="en-US" w:eastAsia="en-US" w:bidi="ar-SA"/>
        </w:rPr>
        <w:t>To illustrate the potential performance gain of lower coding rates, consider a scenario: with the current 1/3 code, the minimum coding gain (difference from uncoded) might be on the order of 5–6 dB at a given target BER for short packets. If we go to 1/6 rate, effectively doubling redundancy (either via code extension or repetition), we could gain roughly another 2–3 dB in required SNR for the same BER (a rough estimate, since doubling redundancy ideally yields 3 dB if the code is ideal and combining is perfect). This could translate to a significant range extension. For example, path loss in free space increases by 20 dB per decade of distance. A 3 dB link budget improvement might allow about 20–25% greater distance. In a more attenuation-limited environment (NLOS, clutter), it could be even more critical to have coding gain.</w:t>
      </w:r>
    </w:p>
    <w:p w14:paraId="28DBFF39">
      <w:pPr>
        <w:numPr>
          <w:ilvl w:val="0"/>
          <w:numId w:val="0"/>
        </w:numPr>
      </w:pPr>
    </w:p>
    <w:p w14:paraId="699B31E7">
      <w:pPr>
        <w:pStyle w:val="48"/>
        <w:numPr>
          <w:ilvl w:val="0"/>
          <w:numId w:val="0"/>
        </w:numPr>
        <w:spacing w:after="0"/>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sz w:val="22"/>
          <w:szCs w:val="22"/>
          <w:lang w:val="en-US" w:eastAsia="zh-CN" w:bidi="ar-SA"/>
        </w:rPr>
        <w:t xml:space="preserve">Proposal 4: Support </w:t>
      </w:r>
      <w:r>
        <w:rPr>
          <w:rFonts w:hint="default" w:ascii="Times New Roman Bold Italic" w:hAnsi="Times New Roman Bold Italic" w:eastAsia="宋体" w:cs="Times New Roman Bold Italic"/>
          <w:b/>
          <w:bCs/>
          <w:i/>
          <w:iCs/>
          <w:sz w:val="22"/>
          <w:szCs w:val="22"/>
          <w:lang w:val="en-US" w:eastAsia="ko-KR" w:bidi="ar-SA"/>
        </w:rPr>
        <w:t>Alt 1: reuse both LTE sub-block interleaver and LTE bit collection scheme</w:t>
      </w:r>
      <w:r>
        <w:rPr>
          <w:rFonts w:hint="default" w:ascii="Times New Roman Bold Italic" w:hAnsi="Times New Roman Bold Italic" w:eastAsia="宋体" w:cs="Times New Roman Bold Italic"/>
          <w:b/>
          <w:bCs/>
          <w:i/>
          <w:iCs/>
          <w:sz w:val="22"/>
          <w:szCs w:val="22"/>
          <w:lang w:val="en-US" w:eastAsia="zh-CN" w:bidi="ar-SA"/>
        </w:rPr>
        <w:t>.</w:t>
      </w:r>
    </w:p>
    <w:p w14:paraId="5B42AEC8">
      <w:pPr>
        <w:rPr>
          <w:b/>
          <w:bCs/>
          <w:lang w:eastAsia="zh-CN"/>
        </w:rPr>
      </w:pPr>
    </w:p>
    <w:p w14:paraId="03807145">
      <w:pPr>
        <w:pStyle w:val="4"/>
        <w:numPr>
          <w:numId w:val="0"/>
        </w:numPr>
        <w:tabs>
          <w:tab w:val="clear" w:pos="720"/>
        </w:tabs>
        <w:ind w:leftChars="0"/>
        <w:rPr>
          <w:sz w:val="24"/>
          <w:szCs w:val="24"/>
          <w:lang w:eastAsia="zh-CN"/>
        </w:rPr>
      </w:pPr>
      <w:r>
        <w:rPr>
          <w:rFonts w:hint="eastAsia"/>
          <w:sz w:val="24"/>
          <w:szCs w:val="24"/>
          <w:lang w:val="en-US" w:eastAsia="zh-CN"/>
        </w:rPr>
        <w:t xml:space="preserve">2.3 </w:t>
      </w:r>
      <w:r>
        <w:rPr>
          <w:rFonts w:hint="eastAsia"/>
          <w:sz w:val="24"/>
          <w:szCs w:val="24"/>
          <w:lang w:eastAsia="zh-CN"/>
        </w:rPr>
        <w:t>Scrambling</w:t>
      </w:r>
    </w:p>
    <w:p w14:paraId="61B4E630">
      <w:pPr>
        <w:pStyle w:val="17"/>
        <w:rPr>
          <w:sz w:val="22"/>
          <w:szCs w:val="22"/>
        </w:rPr>
      </w:pPr>
      <w:r>
        <w:rPr>
          <w:sz w:val="22"/>
          <w:szCs w:val="22"/>
        </w:rPr>
        <w:t>The device would need to store or generate a scrambling sequence. A typical sequence generator (e.g., a 7th or 10th order LFSR) can be implemented with a few flip-flops and XOR gates in hardware, or a few lines of C code in a microcontroller, which is negligible compared to FEC or other operations. So complexity is not a barrier. The main overhead is that the reader needs to know the scrambling sequence to decode (so the sequence might be determined by some cell-specific parameter given to the device via R2D, or a standard formula using, say, the reader’s ID and maybe the device ID or something). That requires a bit of specification but nothing heavy.</w:t>
      </w:r>
    </w:p>
    <w:p w14:paraId="009C3AB6">
      <w:pPr>
        <w:pStyle w:val="17"/>
        <w:rPr>
          <w:sz w:val="22"/>
          <w:szCs w:val="22"/>
        </w:rPr>
      </w:pPr>
      <w:r>
        <w:rPr>
          <w:sz w:val="22"/>
          <w:szCs w:val="22"/>
        </w:rPr>
        <w:t xml:space="preserve">Given that the contribution mentions </w:t>
      </w:r>
      <w:r>
        <w:rPr>
          <w:rFonts w:hint="default" w:ascii="Times New Roman" w:hAnsi="Times New Roman" w:cs="Times New Roman"/>
          <w:b w:val="0"/>
          <w:bCs w:val="0"/>
          <w:i w:val="0"/>
          <w:iCs w:val="0"/>
          <w:sz w:val="22"/>
          <w:szCs w:val="22"/>
        </w:rPr>
        <w:t>“whether support multi-reader scenario should be clarified,” it suggests that a decision on device availability/discontinuous monitoring</w:t>
      </w:r>
      <w:r>
        <w:rPr>
          <w:sz w:val="22"/>
          <w:szCs w:val="22"/>
        </w:rPr>
        <w:t xml:space="preserve"> (Chapter 3.2) might come into play. If multiple readers are allowed to signal devices to sleep/wake (Direction 2 concept), possibly overlapping read zones might be coordinated at higher layers. If coordination is guaranteed, </w:t>
      </w:r>
      <w:r>
        <w:rPr>
          <w:rFonts w:hint="eastAsia"/>
          <w:sz w:val="22"/>
          <w:szCs w:val="22"/>
          <w:lang w:val="en-US" w:eastAsia="zh-CN"/>
        </w:rPr>
        <w:t xml:space="preserve">we </w:t>
      </w:r>
      <w:r>
        <w:rPr>
          <w:sz w:val="22"/>
          <w:szCs w:val="22"/>
        </w:rPr>
        <w:t>think scrambling is less necessary. But it’s safer to include it.</w:t>
      </w:r>
    </w:p>
    <w:p w14:paraId="7A068322">
      <w:pPr>
        <w:pStyle w:val="17"/>
        <w:rPr>
          <w:sz w:val="22"/>
          <w:szCs w:val="22"/>
        </w:rPr>
      </w:pPr>
      <w:r>
        <w:rPr>
          <w:sz w:val="22"/>
          <w:szCs w:val="22"/>
        </w:rPr>
        <w:t>We also note that in one of the agreements reproduced (likely misplaced under the repetition section in the text), it explicitly lists studying scrambling and its sequence generation – reinforcing that it is actively being considered.</w:t>
      </w:r>
    </w:p>
    <w:p w14:paraId="781BCD73">
      <w:pPr>
        <w:pStyle w:val="17"/>
        <w:rPr>
          <w:sz w:val="22"/>
          <w:szCs w:val="22"/>
          <w:lang w:eastAsia="ko-KR"/>
        </w:rPr>
      </w:pPr>
      <w:r>
        <w:rPr>
          <w:sz w:val="22"/>
          <w:szCs w:val="22"/>
        </w:rPr>
        <w:t>For completeness, another benefit of scrambling in general is to break up long sequences of identical bits, which can be important for certain modulations. For example, if a device transmitted a long run of zeros with OOK (which would be a long off period) or with BPSK (which would be a long constant phase), a receiver’s AGC or threshold might drift. Scrambling ensures the transmitted bit stream is balanced (approx equal 0/1) if the sequence is long enough, which can help with clock recovery and threshold adaptation. However, in Ambient IoT, we often line-code the data (Manchester or similar) to ensure transitions (as was done in downlink PRDCH). On the uplink, if line coding is not used, scrambling can serve a similar purpose to introduce bit transitions for synchronization. So even in a single-reader scenario, a scramble might indirectly aid the receiver by avoiding pathological patterns. This is a minor point, but it adds weight to considering scrambling.</w:t>
      </w:r>
    </w:p>
    <w:p w14:paraId="2A81292D">
      <w:pPr>
        <w:rPr>
          <w:szCs w:val="20"/>
          <w:lang w:eastAsia="zh-CN"/>
        </w:rPr>
      </w:pPr>
    </w:p>
    <w:p w14:paraId="424769E4">
      <w:pPr>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w:t>
      </w:r>
      <w:r>
        <w:rPr>
          <w:rFonts w:hint="default" w:ascii="Times New Roman Bold Italic" w:hAnsi="Times New Roman Bold Italic" w:cs="Times New Roman Bold Italic"/>
          <w:b/>
          <w:bCs/>
          <w:i/>
          <w:iCs/>
          <w:lang w:eastAsia="zh-CN"/>
        </w:rPr>
        <w:t>:</w:t>
      </w:r>
      <w:r>
        <w:rPr>
          <w:rFonts w:hint="default" w:ascii="Times New Roman Bold Italic" w:hAnsi="Times New Roman Bold Italic" w:cs="Times New Roman Bold Italic"/>
          <w:b/>
          <w:bCs/>
          <w:i/>
          <w:iCs/>
          <w:szCs w:val="20"/>
          <w:lang w:eastAsia="ko-KR"/>
        </w:rPr>
        <w:t xml:space="preserve"> </w:t>
      </w:r>
      <w:r>
        <w:rPr>
          <w:rFonts w:hint="eastAsia" w:ascii="Times New Roman Bold Italic" w:hAnsi="Times New Roman Bold Italic" w:cs="Times New Roman Bold Italic"/>
          <w:b/>
          <w:bCs/>
          <w:i/>
          <w:iCs/>
          <w:szCs w:val="20"/>
          <w:lang w:val="en-US" w:eastAsia="zh-CN"/>
        </w:rPr>
        <w:t>T</w:t>
      </w:r>
      <w:r>
        <w:rPr>
          <w:rFonts w:hint="default" w:ascii="Times New Roman Bold Italic" w:hAnsi="Times New Roman Bold Italic" w:cs="Times New Roman Bold Italic"/>
          <w:b/>
          <w:bCs/>
          <w:i/>
          <w:iCs/>
        </w:rPr>
        <w:t>he necessity of a scrambling mechanism for Device 2b/C depends on whether multiple readers can operate concurrently in the same frequency; if so, scrambling should be employed to randomize inter-cell interference.</w:t>
      </w:r>
    </w:p>
    <w:p w14:paraId="41CF3097">
      <w:pPr>
        <w:rPr>
          <w:rFonts w:hint="default" w:ascii="Times New Roman Bold Italic" w:hAnsi="Times New Roman Bold Italic" w:cs="Times New Roman Bold Italic"/>
          <w:b/>
          <w:bCs/>
          <w:i/>
          <w:iCs/>
          <w:lang w:eastAsia="zh-CN"/>
        </w:rPr>
      </w:pPr>
    </w:p>
    <w:p w14:paraId="48B61C7B">
      <w:pPr>
        <w:pStyle w:val="4"/>
        <w:numPr>
          <w:numId w:val="0"/>
        </w:numPr>
        <w:tabs>
          <w:tab w:val="clear" w:pos="720"/>
        </w:tabs>
        <w:ind w:leftChars="0"/>
        <w:rPr>
          <w:sz w:val="24"/>
          <w:szCs w:val="24"/>
          <w:lang w:eastAsia="zh-CN"/>
        </w:rPr>
      </w:pPr>
      <w:r>
        <w:rPr>
          <w:rFonts w:hint="eastAsia"/>
          <w:sz w:val="24"/>
          <w:szCs w:val="24"/>
          <w:lang w:val="en-US" w:eastAsia="zh-CN"/>
        </w:rPr>
        <w:t xml:space="preserve">2.4 </w:t>
      </w:r>
      <w:r>
        <w:rPr>
          <w:sz w:val="24"/>
          <w:szCs w:val="24"/>
          <w:lang w:eastAsia="zh-CN"/>
        </w:rPr>
        <w:t>B</w:t>
      </w:r>
      <w:r>
        <w:rPr>
          <w:rFonts w:hint="eastAsia"/>
          <w:sz w:val="24"/>
          <w:szCs w:val="24"/>
          <w:lang w:eastAsia="zh-CN"/>
        </w:rPr>
        <w:t>lock</w:t>
      </w:r>
      <w:r>
        <w:rPr>
          <w:sz w:val="24"/>
          <w:szCs w:val="24"/>
          <w:lang w:eastAsia="zh-CN"/>
        </w:rPr>
        <w:t xml:space="preserve"> </w:t>
      </w:r>
      <w:r>
        <w:rPr>
          <w:rFonts w:hint="eastAsia"/>
          <w:sz w:val="24"/>
          <w:szCs w:val="24"/>
          <w:lang w:eastAsia="zh-CN"/>
        </w:rPr>
        <w:t>repetition</w:t>
      </w:r>
    </w:p>
    <w:p w14:paraId="0D6F6D8F">
      <w:pPr>
        <w:rPr>
          <w:lang w:eastAsia="zh-CN"/>
        </w:rPr>
      </w:pPr>
      <w:r>
        <w:rPr>
          <w:lang w:eastAsia="zh-CN"/>
        </w:rPr>
        <w:t>I</w:t>
      </w:r>
      <w:r>
        <w:rPr>
          <w:rFonts w:hint="eastAsia"/>
          <w:lang w:eastAsia="zh-CN"/>
        </w:rPr>
        <w:t xml:space="preserve">n </w:t>
      </w:r>
      <w:r>
        <w:t>Rel</w:t>
      </w:r>
      <w:r>
        <w:noBreakHyphen/>
      </w:r>
      <w:r>
        <w:t>19</w:t>
      </w:r>
      <w:r>
        <w:rPr>
          <w:rFonts w:hint="eastAsia"/>
          <w:lang w:eastAsia="zh-CN"/>
        </w:rPr>
        <w:t xml:space="preserve"> specification,</w:t>
      </w:r>
      <w:r>
        <w:rPr>
          <w:lang w:eastAsia="zh-CN"/>
        </w:rPr>
        <w:t xml:space="preserve"> block </w:t>
      </w:r>
      <w:r>
        <w:rPr>
          <w:lang w:eastAsia="ko-KR"/>
        </w:rPr>
        <w:t xml:space="preserve">repetition for D2R was supported, which can be reused for </w:t>
      </w:r>
      <w:r>
        <w:t>Rel</w:t>
      </w:r>
      <w:r>
        <w:noBreakHyphen/>
      </w:r>
      <w:r>
        <w:t xml:space="preserve">20. </w:t>
      </w:r>
      <w:r>
        <w:rPr>
          <w:lang w:eastAsia="zh-CN"/>
        </w:rPr>
        <w:t xml:space="preserve">In last meeting, </w:t>
      </w:r>
      <w:r>
        <w:rPr>
          <w:lang w:eastAsia="ko-KR"/>
        </w:rPr>
        <w:t>the following agreement on D2R repetition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C1C0F5C">
        <w:tc>
          <w:tcPr>
            <w:tcW w:w="9307" w:type="dxa"/>
          </w:tcPr>
          <w:p w14:paraId="4CB00AE4">
            <w:pPr>
              <w:widowControl w:val="0"/>
              <w:rPr>
                <w:rFonts w:hint="default" w:ascii="Times New Roman Regular" w:hAnsi="Times New Roman Regular" w:cs="Times New Roman Regular"/>
                <w:b/>
                <w:bCs/>
                <w:sz w:val="22"/>
                <w:szCs w:val="22"/>
                <w:lang w:val="en-US"/>
              </w:rPr>
            </w:pPr>
            <w:r>
              <w:rPr>
                <w:rFonts w:hint="default" w:ascii="Times New Roman Regular" w:hAnsi="Times New Roman Regular" w:cs="Times New Roman Regular"/>
                <w:b/>
                <w:bCs/>
                <w:sz w:val="22"/>
                <w:szCs w:val="22"/>
                <w:highlight w:val="green"/>
              </w:rPr>
              <w:t>Agreement</w:t>
            </w:r>
          </w:p>
          <w:p w14:paraId="0DC20158">
            <w:pPr>
              <w:widowControl w:val="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For PDRCH, further study the necessity of scrambling with following details:</w:t>
            </w:r>
          </w:p>
          <w:p w14:paraId="54A34B37">
            <w:pPr>
              <w:pStyle w:val="48"/>
              <w:widowControl w:val="0"/>
              <w:numPr>
                <w:ilvl w:val="0"/>
                <w:numId w:val="9"/>
              </w:numPr>
              <w:spacing w:after="0"/>
              <w:rPr>
                <w:rFonts w:hint="default" w:ascii="Times New Roman Regular" w:hAnsi="Times New Roman Regular" w:cs="Times New Roman Regular"/>
                <w:sz w:val="22"/>
                <w:szCs w:val="22"/>
                <w:lang w:eastAsia="ko-KR"/>
              </w:rPr>
            </w:pPr>
            <w:r>
              <w:rPr>
                <w:rFonts w:hint="default" w:ascii="Times New Roman Regular" w:hAnsi="Times New Roman Regular" w:cs="Times New Roman Regular"/>
                <w:sz w:val="22"/>
                <w:szCs w:val="22"/>
                <w:lang w:eastAsia="ko-KR"/>
              </w:rPr>
              <w:t>Scrambling applied after block-level repetition (if applied) and channel coding (if applied, including interleaving if supported)</w:t>
            </w:r>
          </w:p>
          <w:p w14:paraId="26D17F6F">
            <w:pPr>
              <w:pStyle w:val="48"/>
              <w:widowControl w:val="0"/>
              <w:numPr>
                <w:ilvl w:val="0"/>
                <w:numId w:val="9"/>
              </w:numPr>
              <w:spacing w:after="0"/>
              <w:rPr>
                <w:rFonts w:eastAsia="Malgun Gothic"/>
                <w:szCs w:val="20"/>
                <w:lang w:eastAsia="ko-KR"/>
              </w:rPr>
            </w:pPr>
            <w:r>
              <w:rPr>
                <w:rFonts w:hint="default" w:ascii="Times New Roman Regular" w:hAnsi="Times New Roman Regular" w:cs="Times New Roman Regular"/>
                <w:sz w:val="22"/>
                <w:szCs w:val="22"/>
                <w:lang w:eastAsia="ko-KR"/>
              </w:rPr>
              <w:t>Scrambling sequence type and generation method</w:t>
            </w:r>
          </w:p>
        </w:tc>
      </w:tr>
    </w:tbl>
    <w:p w14:paraId="33920246">
      <w:pPr>
        <w:pStyle w:val="83"/>
        <w:rPr>
          <w:rFonts w:hint="default" w:ascii="Times New Roman Bold Italic" w:hAnsi="Times New Roman Bold Italic" w:cs="Times New Roman Bold Italic"/>
          <w:b/>
          <w:bCs/>
          <w:i/>
          <w:iCs/>
          <w:lang w:eastAsia="zh-CN"/>
        </w:rPr>
      </w:pPr>
      <w:r>
        <w:rPr>
          <w:sz w:val="22"/>
          <w:szCs w:val="22"/>
        </w:rPr>
        <w:t>In Rel-1</w:t>
      </w:r>
      <w:r>
        <w:rPr>
          <w:rFonts w:hint="default" w:ascii="Times New Roman" w:hAnsi="Times New Roman" w:cs="Times New Roman"/>
          <w:b w:val="0"/>
          <w:bCs w:val="0"/>
          <w:sz w:val="22"/>
          <w:szCs w:val="22"/>
        </w:rPr>
        <w:t>9 specification, block repetition was supported for D2R transmissions and was used as a simple form of gain to ensure coverage. The maximum number of repetitions for a D2R message was 2 in Rel-19. That is, a device could transmit its message twice in a row for redundancy. The distance targets in Rel-19 were 15 m, 25 m, 50 m for Device 1, Device 2a, Device 2b respectively under certain test conditions. Repetition was one technique to reach those distances, especially 50 m for device 2b (since device 2b could amplify, one repetition was allowed to extend from 25 to 50 m perhaps). For outdoor scenarios in Rel-20, the link budget requirement is expected to be even more demanding (e.g., perhaps devices needing to communicate over 100 m in open areas, or through more obstacles). The contribution suggests that D2R coverage will be further evaluated (Agenda Item 10.3.1 referenced) and that enhanced channel coding (as discussed above) is one avenue to improve coverage. If those are not sufficient alone, increasing the number of block repetitions is a straightforward way to gain extra link margin. Essentially, each additional repetition allows the reader to accumulate energy or do diversity combining, improving the probability of successful reception.</w:t>
      </w:r>
    </w:p>
    <w:p w14:paraId="2BD6999B">
      <w:pPr>
        <w:pStyle w:val="17"/>
        <w:rPr>
          <w:sz w:val="22"/>
          <w:szCs w:val="22"/>
        </w:rPr>
      </w:pPr>
      <w:r>
        <w:rPr>
          <w:sz w:val="22"/>
          <w:szCs w:val="22"/>
        </w:rPr>
        <w:t>When a device transmits the same packet multiple times, the reader can combine those receptions. If the reader treats it as simply repeating until success, the gain is akin to making multiple independent attempts (which increases reliability). If the reader can do</w:t>
      </w:r>
      <w:r>
        <w:rPr>
          <w:rFonts w:hint="default" w:ascii="Times New Roman" w:hAnsi="Times New Roman" w:cs="Times New Roman"/>
          <w:b w:val="0"/>
          <w:bCs w:val="0"/>
          <w:sz w:val="22"/>
          <w:szCs w:val="22"/>
        </w:rPr>
        <w:t xml:space="preserve"> soft combining</w:t>
      </w:r>
      <w:r>
        <w:rPr>
          <w:sz w:val="22"/>
          <w:szCs w:val="22"/>
        </w:rPr>
        <w:t xml:space="preserve"> (adding the signal energy coherently or doing maximal ratio combining), the SNR improves almost linearly with the number of repetitions if the channel doesn’t change. For example, two repetitions ideally give a 3 dB improvement (if combined coherently) or some diversity gain if combined non-coherently. Four repetitions would give up to ~6 dB, and so on (diminishing returns in linear scale, but still significant in dB). In practice, if noise is the only impairment, repeating N times yields a processing gain of 10\log_{10}(N) in energy if combined. If interference or fading is present, repetition also provides</w:t>
      </w:r>
      <w:r>
        <w:rPr>
          <w:rFonts w:hint="default" w:ascii="Times New Roman" w:hAnsi="Times New Roman" w:cs="Times New Roman"/>
          <w:b w:val="0"/>
          <w:bCs w:val="0"/>
          <w:sz w:val="22"/>
          <w:szCs w:val="22"/>
        </w:rPr>
        <w:t xml:space="preserve"> time diversity</w:t>
      </w:r>
      <w:r>
        <w:rPr>
          <w:sz w:val="22"/>
          <w:szCs w:val="22"/>
        </w:rPr>
        <w:t xml:space="preserve"> – each repetition might see a different channel realization. For slow-fading channels, if the time between repetitions is small relative to channel coherence, the diversity may be limited, but if the spec spaces them out in time (which could be done or not), it could achieve some diversity against deep fades.</w:t>
      </w:r>
    </w:p>
    <w:p w14:paraId="2DAEEB1F">
      <w:pPr>
        <w:pStyle w:val="17"/>
        <w:rPr>
          <w:sz w:val="22"/>
          <w:szCs w:val="22"/>
        </w:rPr>
      </w:pPr>
      <w:r>
        <w:rPr>
          <w:sz w:val="22"/>
          <w:szCs w:val="22"/>
        </w:rPr>
        <w:t xml:space="preserve">Given Device 2b/C can possibly have better timing capability, </w:t>
      </w:r>
      <w:r>
        <w:rPr>
          <w:rFonts w:hint="eastAsia"/>
          <w:sz w:val="22"/>
          <w:szCs w:val="22"/>
          <w:lang w:val="en-US" w:eastAsia="zh-CN"/>
        </w:rPr>
        <w:t>we</w:t>
      </w:r>
      <w:r>
        <w:rPr>
          <w:sz w:val="22"/>
          <w:szCs w:val="22"/>
        </w:rPr>
        <w:t xml:space="preserve"> might even choose to send repetitions with a slight time separation to exploit channel variation. However, currently, Rel-19 likely just sends them back-to-back due to device simplicity. In any case, more repetitions can significantly extend range. For example, moving from 2 reps to 4 reps could allow roughly ~1.41 times the distance in free space (since path loss ∝ distance^2 in power, doubling energy can compensate for a ~1.41 distance increase). That could take a 50 m range to ~70 m. If 8 repetitions, that’s 9 dB gain, potentially 1.78 times distance (~89 m from 50 m baseline). This is a rough estimate and actual performance depends on noise figure, interference, etc., but it’s illustrative that repetition is a powerful tool for range.</w:t>
      </w:r>
    </w:p>
    <w:p w14:paraId="67B29CC8">
      <w:pPr>
        <w:pStyle w:val="17"/>
        <w:rPr>
          <w:sz w:val="22"/>
          <w:szCs w:val="22"/>
        </w:rPr>
      </w:pPr>
      <w:r>
        <w:rPr>
          <w:rFonts w:hint="eastAsia"/>
          <w:sz w:val="22"/>
          <w:szCs w:val="22"/>
          <w:lang w:val="en-US" w:eastAsia="zh-CN"/>
        </w:rPr>
        <w:t>Also, t</w:t>
      </w:r>
      <w:r>
        <w:rPr>
          <w:sz w:val="22"/>
          <w:szCs w:val="22"/>
        </w:rPr>
        <w:t xml:space="preserve">he </w:t>
      </w:r>
      <w:r>
        <w:rPr>
          <w:b w:val="0"/>
          <w:bCs w:val="0"/>
          <w:sz w:val="22"/>
          <w:szCs w:val="22"/>
        </w:rPr>
        <w:t>order of repetition vs coding</w:t>
      </w:r>
      <w:r>
        <w:rPr>
          <w:sz w:val="22"/>
          <w:szCs w:val="22"/>
        </w:rPr>
        <w:t xml:space="preserve"> was mentioned in the agreements (which we discussed in coding). It was agreed to study performing block-level repetition potentially before coding to reduce complexity</w:t>
      </w:r>
      <w:r>
        <w:rPr>
          <w:rFonts w:hint="eastAsia"/>
          <w:sz w:val="22"/>
          <w:szCs w:val="22"/>
          <w:lang w:val="en-US" w:eastAsia="zh-CN"/>
        </w:rPr>
        <w:t xml:space="preserve">. </w:t>
      </w:r>
      <w:r>
        <w:rPr>
          <w:sz w:val="22"/>
          <w:szCs w:val="22"/>
        </w:rPr>
        <w:t xml:space="preserve">If repetition is done at the block (packet) level after full encoding and scrambling, it’s straightforward: just send the entire encoded packet multiple times. If done at the bit level inside the code, that effectively lowers the code rate as discussed. </w:t>
      </w:r>
    </w:p>
    <w:p w14:paraId="11A39ED1">
      <w:pPr>
        <w:rPr>
          <w:rFonts w:hint="default" w:ascii="Times New Roman Bold Italic" w:hAnsi="Times New Roman Bold Italic" w:cs="Times New Roman Bold Italic"/>
          <w:b/>
          <w:bCs/>
          <w:i/>
          <w:iCs/>
        </w:rPr>
      </w:pPr>
      <w:r>
        <w:rPr>
          <w:rFonts w:hint="eastAsia" w:ascii="Times New Roman Bold Italic" w:hAnsi="Times New Roman Bold Italic" w:cs="Times New Roman Bold Italic"/>
          <w:b/>
          <w:bCs/>
          <w:i/>
          <w:iCs/>
          <w:szCs w:val="20"/>
          <w:lang w:val="en-US" w:eastAsia="zh-CN"/>
        </w:rPr>
        <w:t xml:space="preserve">Observation 5: </w:t>
      </w:r>
      <w:r>
        <w:rPr>
          <w:rFonts w:hint="default" w:ascii="Times New Roman Bold Italic" w:hAnsi="Times New Roman Bold Italic" w:cs="Times New Roman Bold Italic"/>
          <w:b/>
          <w:bCs/>
          <w:i/>
          <w:iCs/>
        </w:rPr>
        <w:t>If repetition is done at the block (packet) level after full encoding and scrambling, it’s straightforward: just send the entire encoded packet multiple times. If done at the bit level inside the code, that effectively lowers the code rate as discussed.</w:t>
      </w:r>
    </w:p>
    <w:p w14:paraId="1C5692DA">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eastAsia="zh-CN"/>
        </w:rPr>
        <w:t xml:space="preserve">Proposal 5: Support larger </w:t>
      </w:r>
      <w:r>
        <w:rPr>
          <w:rFonts w:hint="default" w:ascii="Times New Roman Bold Italic" w:hAnsi="Times New Roman Bold Italic" w:cs="Times New Roman Bold Italic"/>
          <w:b/>
          <w:bCs/>
          <w:i/>
          <w:iCs/>
          <w:szCs w:val="20"/>
          <w:lang w:eastAsia="ko-KR"/>
        </w:rPr>
        <w:t>number of repetitions for Device 2b/C if it is essential</w:t>
      </w:r>
      <w:r>
        <w:rPr>
          <w:rFonts w:hint="eastAsia" w:ascii="Times New Roman Bold Italic" w:hAnsi="Times New Roman Bold Italic" w:cs="Times New Roman Bold Italic"/>
          <w:b/>
          <w:bCs/>
          <w:i/>
          <w:iCs/>
          <w:szCs w:val="20"/>
          <w:lang w:val="en-US" w:eastAsia="zh-CN"/>
        </w:rPr>
        <w:t>, e.g., the number of repetitions equals to 4.</w:t>
      </w:r>
    </w:p>
    <w:p w14:paraId="5CE236FF">
      <w:pPr>
        <w:rPr>
          <w:rFonts w:hint="default" w:ascii="Times New Roman Bold Italic" w:hAnsi="Times New Roman Bold Italic" w:cs="Times New Roman Bold Italic"/>
          <w:b/>
          <w:bCs/>
          <w:i/>
          <w:iCs/>
          <w:szCs w:val="20"/>
          <w:lang w:eastAsia="zh-CN"/>
        </w:rPr>
      </w:pPr>
    </w:p>
    <w:p w14:paraId="25767B0B">
      <w:pPr>
        <w:pStyle w:val="4"/>
        <w:numPr>
          <w:numId w:val="0"/>
        </w:numPr>
        <w:tabs>
          <w:tab w:val="clear" w:pos="720"/>
        </w:tabs>
        <w:ind w:leftChars="0"/>
        <w:rPr>
          <w:sz w:val="24"/>
          <w:szCs w:val="24"/>
          <w:lang w:eastAsia="zh-CN"/>
        </w:rPr>
      </w:pPr>
      <w:r>
        <w:rPr>
          <w:rFonts w:hint="eastAsia"/>
          <w:sz w:val="24"/>
          <w:szCs w:val="24"/>
          <w:lang w:val="en-US" w:eastAsia="zh-CN"/>
        </w:rPr>
        <w:t xml:space="preserve">2.5 </w:t>
      </w:r>
      <w:r>
        <w:rPr>
          <w:sz w:val="24"/>
          <w:szCs w:val="24"/>
          <w:lang w:eastAsia="zh-CN"/>
        </w:rPr>
        <w:t>D2R multiplexing/multiple access</w:t>
      </w:r>
    </w:p>
    <w:p w14:paraId="4D5B246B">
      <w:pPr>
        <w:rPr>
          <w:lang w:eastAsia="zh-CN"/>
        </w:rPr>
      </w:pPr>
      <w:r>
        <w:rPr>
          <w:lang w:eastAsia="zh-CN"/>
        </w:rPr>
        <w:t xml:space="preserve">In </w:t>
      </w:r>
      <w:r>
        <w:rPr>
          <w:rFonts w:hint="eastAsia"/>
          <w:lang w:val="en-US" w:eastAsia="zh-CN"/>
        </w:rPr>
        <w:t>RAN 1#122</w:t>
      </w:r>
      <w:r>
        <w:rPr>
          <w:rFonts w:hint="default"/>
          <w:lang w:val="en-US" w:eastAsia="zh-CN"/>
        </w:rPr>
        <w:t xml:space="preserve"> and RAN 1#122b</w:t>
      </w:r>
      <w:r>
        <w:rPr>
          <w:lang w:eastAsia="zh-CN"/>
        </w:rPr>
        <w:t xml:space="preserve"> meeting, </w:t>
      </w:r>
      <w:r>
        <w:rPr>
          <w:lang w:eastAsia="ko-KR"/>
        </w:rPr>
        <w:t>the following agreement on D2R</w:t>
      </w:r>
      <w:r>
        <w:rPr>
          <w:sz w:val="24"/>
          <w:szCs w:val="24"/>
          <w:lang w:eastAsia="zh-CN"/>
        </w:rPr>
        <w:t xml:space="preserve"> multiplexing/multiple access</w:t>
      </w:r>
      <w:r>
        <w:rPr>
          <w:lang w:eastAsia="ko-KR"/>
        </w:rPr>
        <w:t xml:space="preserve">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7B6130D">
        <w:tc>
          <w:tcPr>
            <w:tcW w:w="9307" w:type="dxa"/>
          </w:tcPr>
          <w:p w14:paraId="3C910B64">
            <w:pPr>
              <w:widowControl w:val="0"/>
              <w:rPr>
                <w:szCs w:val="20"/>
                <w:lang w:eastAsia="ko-KR"/>
              </w:rPr>
            </w:pPr>
            <w:r>
              <w:rPr>
                <w:szCs w:val="20"/>
                <w:highlight w:val="green"/>
                <w:lang w:eastAsia="ko-KR"/>
              </w:rPr>
              <w:t>Agreement</w:t>
            </w:r>
          </w:p>
          <w:p w14:paraId="236ED219">
            <w:pPr>
              <w:widowControl w:val="0"/>
              <w:rPr>
                <w:szCs w:val="20"/>
                <w:lang w:eastAsia="ko-KR"/>
              </w:rPr>
            </w:pPr>
            <w:r>
              <w:rPr>
                <w:szCs w:val="20"/>
                <w:lang w:eastAsia="ko-KR"/>
              </w:rPr>
              <w:t>At least for CBRA for DT and DO-DTT, study necessity and feasibility of enhancements of D2R TDM(A) for Device 2b and for Device C based on the following:</w:t>
            </w:r>
          </w:p>
          <w:p w14:paraId="6D7EC998">
            <w:pPr>
              <w:pStyle w:val="48"/>
              <w:widowControl w:val="0"/>
              <w:numPr>
                <w:ilvl w:val="0"/>
                <w:numId w:val="10"/>
              </w:numPr>
              <w:overflowPunct w:val="0"/>
              <w:autoSpaceDE w:val="0"/>
              <w:autoSpaceDN w:val="0"/>
              <w:adjustRightInd w:val="0"/>
              <w:spacing w:after="180"/>
              <w:contextualSpacing/>
              <w:textAlignment w:val="baseline"/>
              <w:rPr>
                <w:rFonts w:ascii="Times New Roman" w:hAnsi="Times New Roman"/>
                <w:sz w:val="22"/>
                <w:szCs w:val="22"/>
                <w:lang w:val="de-DE" w:eastAsia="ko-KR"/>
              </w:rPr>
            </w:pPr>
            <w:r>
              <w:rPr>
                <w:rFonts w:ascii="Times New Roman" w:hAnsi="Times New Roman"/>
                <w:sz w:val="22"/>
                <w:szCs w:val="22"/>
                <w:lang w:val="de-DE" w:eastAsia="ko-KR"/>
              </w:rPr>
              <w:t>X1 &gt; 2 for Msg1 (X1: number of time domain resources for Msg1 transmission indicated by the corresponding R2D message)</w:t>
            </w:r>
          </w:p>
          <w:p w14:paraId="3408B51F">
            <w:pPr>
              <w:pStyle w:val="48"/>
              <w:widowControl w:val="0"/>
              <w:numPr>
                <w:ilvl w:val="0"/>
                <w:numId w:val="10"/>
              </w:numPr>
              <w:overflowPunct w:val="0"/>
              <w:autoSpaceDE w:val="0"/>
              <w:autoSpaceDN w:val="0"/>
              <w:adjustRightInd w:val="0"/>
              <w:spacing w:after="180"/>
              <w:contextualSpacing/>
              <w:textAlignment w:val="baseline"/>
              <w:rPr>
                <w:lang w:val="de-DE" w:eastAsia="ko-KR"/>
              </w:rPr>
            </w:pPr>
            <w:r>
              <w:rPr>
                <w:rFonts w:ascii="Times New Roman" w:hAnsi="Times New Roman"/>
                <w:sz w:val="22"/>
                <w:szCs w:val="22"/>
                <w:lang w:val="de-DE" w:eastAsia="ko-KR"/>
              </w:rPr>
              <w:t>X3 &gt; 1 for Msg3 (X3: number of time domain resources for Msg3 transmission indicated by the corresponding R2D message)</w:t>
            </w:r>
          </w:p>
          <w:p w14:paraId="4D192520">
            <w:pPr>
              <w:widowControl w:val="0"/>
              <w:rPr>
                <w:szCs w:val="20"/>
                <w:lang w:eastAsia="ko-KR"/>
              </w:rPr>
            </w:pPr>
            <w:r>
              <w:rPr>
                <w:szCs w:val="20"/>
                <w:highlight w:val="green"/>
                <w:lang w:eastAsia="ko-KR"/>
              </w:rPr>
              <w:t>Agreement</w:t>
            </w:r>
          </w:p>
          <w:p w14:paraId="58B225AC">
            <w:pPr>
              <w:widowControl w:val="0"/>
              <w:rPr>
                <w:szCs w:val="20"/>
                <w:lang w:eastAsia="ko-KR"/>
              </w:rPr>
            </w:pPr>
            <w:r>
              <w:rPr>
                <w:szCs w:val="20"/>
                <w:lang w:eastAsia="ko-KR"/>
              </w:rPr>
              <w:t>Study necessity and feasibility of enhancements of D2R for Device 2b and for Device C, considering the following aspects or potential enhancements:</w:t>
            </w:r>
          </w:p>
          <w:p w14:paraId="455C2AA6">
            <w:pPr>
              <w:pStyle w:val="48"/>
              <w:widowControl w:val="0"/>
              <w:numPr>
                <w:ilvl w:val="0"/>
                <w:numId w:val="11"/>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Considering that Device 2b and Device C can adjust the LO towards a desired frequency, whether to also support baseband small FS for Device 2b and Device C</w:t>
            </w:r>
          </w:p>
          <w:p w14:paraId="7BDD031C">
            <w:pPr>
              <w:pStyle w:val="48"/>
              <w:widowControl w:val="0"/>
              <w:numPr>
                <w:ilvl w:val="0"/>
                <w:numId w:val="11"/>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D2R frequency resources for FDM(A) (e.g., considering D2R transmission bandwidth, guard-band size between FDMed D2R transmissions, CFO, SFO, etc.)</w:t>
            </w:r>
          </w:p>
          <w:p w14:paraId="68CD3D15">
            <w:pPr>
              <w:pStyle w:val="48"/>
              <w:widowControl w:val="0"/>
              <w:numPr>
                <w:ilvl w:val="0"/>
                <w:numId w:val="11"/>
              </w:numPr>
              <w:overflowPunct w:val="0"/>
              <w:autoSpaceDE w:val="0"/>
              <w:autoSpaceDN w:val="0"/>
              <w:adjustRightInd w:val="0"/>
              <w:spacing w:after="180"/>
              <w:contextualSpacing/>
              <w:textAlignment w:val="baseline"/>
              <w:rPr>
                <w:rFonts w:ascii="Times New Roman" w:hAnsi="Times New Roman"/>
                <w:sz w:val="22"/>
                <w:szCs w:val="22"/>
                <w:lang w:eastAsia="ko-KR"/>
              </w:rPr>
            </w:pPr>
            <w:r>
              <w:rPr>
                <w:rFonts w:ascii="Times New Roman" w:hAnsi="Times New Roman"/>
                <w:sz w:val="22"/>
                <w:szCs w:val="22"/>
                <w:lang w:eastAsia="ko-KR"/>
              </w:rPr>
              <w:t>How a device determines the frequency resource for D2R transmission</w:t>
            </w:r>
          </w:p>
          <w:p w14:paraId="24AD4ED5">
            <w:pPr>
              <w:pStyle w:val="48"/>
              <w:widowControl w:val="0"/>
              <w:numPr>
                <w:ilvl w:val="0"/>
                <w:numId w:val="11"/>
              </w:numPr>
              <w:overflowPunct w:val="0"/>
              <w:autoSpaceDE w:val="0"/>
              <w:autoSpaceDN w:val="0"/>
              <w:adjustRightInd w:val="0"/>
              <w:spacing w:after="180"/>
              <w:contextualSpacing/>
              <w:textAlignment w:val="baseline"/>
              <w:rPr>
                <w:lang w:eastAsia="ko-KR"/>
              </w:rPr>
            </w:pPr>
            <w:r>
              <w:rPr>
                <w:rFonts w:ascii="Times New Roman" w:hAnsi="Times New Roman"/>
                <w:sz w:val="22"/>
                <w:szCs w:val="22"/>
                <w:lang w:eastAsia="ko-KR"/>
              </w:rPr>
              <w:t>FDM(A) for D2R transmissions other than Msg1 and Msg3</w:t>
            </w:r>
          </w:p>
          <w:p w14:paraId="245C36C7">
            <w:pPr>
              <w:widowControl w:val="0"/>
              <w:rPr>
                <w:b/>
                <w:bCs/>
                <w:sz w:val="22"/>
                <w:szCs w:val="22"/>
              </w:rPr>
            </w:pPr>
            <w:r>
              <w:rPr>
                <w:b/>
                <w:bCs/>
                <w:sz w:val="22"/>
                <w:szCs w:val="22"/>
                <w:highlight w:val="green"/>
              </w:rPr>
              <w:t>Agreement</w:t>
            </w:r>
          </w:p>
          <w:p w14:paraId="391D04A7">
            <w:pPr>
              <w:widowControl w:val="0"/>
              <w:rPr>
                <w:sz w:val="22"/>
                <w:szCs w:val="22"/>
                <w:lang w:eastAsia="ko-KR"/>
              </w:rPr>
            </w:pPr>
            <w:r>
              <w:rPr>
                <w:sz w:val="22"/>
                <w:szCs w:val="22"/>
              </w:rPr>
              <w:t>Study necessity and feasibility of D2R CDM(A) for Device 2b and for Device C with sequence-based Msg1 transmission and potential impact to random access procedures</w:t>
            </w:r>
            <w:r>
              <w:rPr>
                <w:sz w:val="22"/>
                <w:szCs w:val="22"/>
                <w:lang w:eastAsia="ko-KR"/>
              </w:rPr>
              <w:t>.</w:t>
            </w:r>
          </w:p>
          <w:p w14:paraId="652AAF2E">
            <w:pPr>
              <w:widowControl w:val="0"/>
              <w:numPr>
                <w:ilvl w:val="0"/>
                <w:numId w:val="9"/>
              </w:numPr>
              <w:rPr>
                <w:lang w:eastAsia="ko-KR"/>
              </w:rPr>
            </w:pPr>
            <w:r>
              <w:rPr>
                <w:rFonts w:hint="eastAsia"/>
                <w:sz w:val="22"/>
                <w:szCs w:val="22"/>
                <w:lang w:eastAsia="ko-KR"/>
              </w:rPr>
              <w:t>F</w:t>
            </w:r>
            <w:r>
              <w:rPr>
                <w:sz w:val="22"/>
                <w:szCs w:val="22"/>
                <w:lang w:eastAsia="ko-KR"/>
              </w:rPr>
              <w:t>FS: other cases, except for data transmission</w:t>
            </w:r>
          </w:p>
        </w:tc>
      </w:tr>
    </w:tbl>
    <w:p w14:paraId="420B4F78">
      <w:r>
        <w:t xml:space="preserve">This essentially means increasing how many time slots a device can use for its Msg1 or Msg3. Msg1 is the first device transmission in the random access procedure (analogous to a preamble or initial message), and Msg3 is the third message (which in NR random access is typically the device’s data or ID message following contention resolution). In Rel-19 for device 1, X1 was limited to 2 and X3 to 1. That matches with what we know: device 1 could send Msg1 in at most 2 occasions (likely two consecutive slots) and Msg3 only in 1 slot (because device 1 was very limited and maybe had to conserve energy). For device 2b/C, since </w:t>
      </w:r>
      <w:r>
        <w:rPr>
          <w:rFonts w:hint="eastAsia"/>
          <w:lang w:val="en-US" w:eastAsia="zh-CN"/>
        </w:rPr>
        <w:t>we</w:t>
      </w:r>
      <w:r>
        <w:t xml:space="preserve"> can “count” and do SFO calibration (meaning can manage timing across multiple slots better), we can consider letting them spread Msg1 over more than 2 slots, and Msg3 over more than 1 slot. This is directly related to the repetition discussion: using X1=4, for instance, means the device’s random access preamble/message is sent 4 times in 4 slots, increasing chances the reader gets it. </w:t>
      </w:r>
    </w:p>
    <w:p w14:paraId="68B52DC2">
      <w:pPr>
        <w:rPr>
          <w:rFonts w:hint="default" w:ascii="Times New Roman Bold Italic" w:hAnsi="Times New Roman Bold Italic" w:cs="Times New Roman Bold Italic"/>
          <w:b/>
          <w:bCs/>
          <w:i/>
          <w:iCs/>
          <w:szCs w:val="20"/>
          <w:lang w:eastAsia="ko-KR"/>
        </w:rPr>
      </w:pPr>
      <w:r>
        <w:rPr>
          <w:rFonts w:hint="default" w:ascii="Times New Roman Bold Italic" w:hAnsi="Times New Roman Bold Italic" w:cs="Times New Roman Bold Italic"/>
          <w:b/>
          <w:bCs/>
          <w:i/>
          <w:iCs/>
          <w:lang w:eastAsia="zh-CN"/>
        </w:rPr>
        <w:t xml:space="preserve">Proposal 6: Support larger </w:t>
      </w:r>
      <w:r>
        <w:rPr>
          <w:rFonts w:hint="default" w:ascii="Times New Roman Bold Italic" w:hAnsi="Times New Roman Bold Italic" w:cs="Times New Roman Bold Italic"/>
          <w:b/>
          <w:bCs/>
          <w:i/>
          <w:iCs/>
          <w:szCs w:val="20"/>
          <w:lang w:eastAsia="ko-KR"/>
        </w:rPr>
        <w:t>number of time domain resources for MSG1/Msg3 transmission for Device 2b/C.</w:t>
      </w:r>
    </w:p>
    <w:p w14:paraId="15397025">
      <w:pPr>
        <w:pStyle w:val="17"/>
        <w:rPr>
          <w:sz w:val="22"/>
          <w:szCs w:val="22"/>
        </w:rPr>
      </w:pPr>
      <w:r>
        <w:rPr>
          <w:sz w:val="22"/>
          <w:szCs w:val="22"/>
        </w:rPr>
        <w:t>Device 2b/C, having an oscillator, can tune to different frequencies entirely. This opens up the possibility for a more conventional FDMA: e.g., multiple devices each use a different 180 kHz channel (just as an example if using NB-IoT channelization). However, FDMA introduces the need for guard bands because CFO/SFO could cause signals to spill. The text explicitly calls out considering guard-band size between FDMed D2R transmissions. Since device CFO might be on the order of a few kHz if uncalibrated, guard bands might need to be a few kHz. But if CFO is calibrated (as planned), we can tighten those guard bands. The study will likely define how many subcarriers apart two devices must be to not interfere given worst-case CFO. Also, the device’s transmitter bandwidth might be limited; it may only support, say, 180 kHz channels, so you can’t pack too many of those in an MHz.</w:t>
      </w:r>
    </w:p>
    <w:p w14:paraId="15C79409">
      <w:pPr>
        <w:pStyle w:val="17"/>
        <w:rPr>
          <w:rFonts w:eastAsia="宋体"/>
          <w:sz w:val="22"/>
          <w:szCs w:val="22"/>
        </w:rPr>
      </w:pPr>
      <w:r>
        <w:rPr>
          <w:rFonts w:hint="eastAsia" w:eastAsia="宋体"/>
          <w:sz w:val="22"/>
          <w:szCs w:val="22"/>
          <w:lang w:val="en-US" w:eastAsia="zh-CN"/>
        </w:rPr>
        <w:t>I</w:t>
      </w:r>
      <w:r>
        <w:rPr>
          <w:rFonts w:eastAsia="宋体"/>
          <w:sz w:val="22"/>
          <w:szCs w:val="22"/>
        </w:rPr>
        <w:t>n a random access context, a device might randomly pick one of N frequency channels to transmit Msg1 (reducing collision probability by N). Or the reader could instruct certain devices via downlink to use certain frequencies (maybe for scheduled data or contention-free RA). We need to study that because it affects device complexity (scanning multiple frequencies?) and network operation.</w:t>
      </w:r>
    </w:p>
    <w:p w14:paraId="032BAA0E">
      <w:pPr>
        <w:pStyle w:val="17"/>
        <w:rPr>
          <w:rFonts w:hint="eastAsia" w:eastAsia="宋体"/>
          <w:sz w:val="22"/>
          <w:szCs w:val="22"/>
          <w:lang w:val="en-US" w:eastAsia="zh-CN"/>
        </w:rPr>
      </w:pPr>
      <w:r>
        <w:rPr>
          <w:rFonts w:eastAsia="宋体"/>
          <w:sz w:val="22"/>
          <w:szCs w:val="22"/>
        </w:rPr>
        <w:t xml:space="preserve">For scheduled D2R data (non-RA uplink), FDM would allow multiple devices to transmit simultaneously on different subbands, increasing throughput. But can the current ambient IoT reader handle multi-user reception? Possibly yes if </w:t>
      </w:r>
      <w:r>
        <w:rPr>
          <w:rFonts w:hint="eastAsia" w:eastAsia="宋体"/>
          <w:sz w:val="22"/>
          <w:szCs w:val="22"/>
          <w:lang w:val="en-US" w:eastAsia="zh-CN"/>
        </w:rPr>
        <w:t>we</w:t>
      </w:r>
      <w:r>
        <w:rPr>
          <w:rFonts w:eastAsia="宋体"/>
          <w:sz w:val="22"/>
          <w:szCs w:val="22"/>
        </w:rPr>
        <w:t xml:space="preserve"> adopt something like an OFDM receiver that can demodulate separate narrowband channels. This might be a more advanced Rel-20 feature (to be studied under multiplexing enhancements).</w:t>
      </w:r>
      <w:r>
        <w:rPr>
          <w:rFonts w:hint="eastAsia" w:eastAsia="宋体"/>
          <w:sz w:val="22"/>
          <w:szCs w:val="22"/>
          <w:lang w:val="en-US" w:eastAsia="zh-CN"/>
        </w:rPr>
        <w:t xml:space="preserve"> Thus, from our perspective, how to consider Reader receiver to demodulate with multiple narrowband channels for D2R transmission?</w:t>
      </w:r>
    </w:p>
    <w:p w14:paraId="7E1AAAC8">
      <w:pPr>
        <w:pStyle w:val="17"/>
        <w:rPr>
          <w:rFonts w:hint="eastAsia" w:eastAsia="宋体"/>
          <w:sz w:val="22"/>
          <w:szCs w:val="22"/>
          <w:lang w:val="en-US" w:eastAsia="zh-CN"/>
        </w:rPr>
      </w:pPr>
    </w:p>
    <w:p w14:paraId="52D8C097">
      <w:pPr>
        <w:pStyle w:val="17"/>
        <w:rPr>
          <w:rFonts w:hint="default" w:ascii="Times New Roman Bold Italic" w:hAnsi="Times New Roman Bold Italic" w:eastAsia="宋体" w:cs="Times New Roman Bold Italic"/>
          <w:b/>
          <w:bCs/>
          <w:i/>
          <w:iCs/>
          <w:sz w:val="22"/>
          <w:szCs w:val="22"/>
        </w:rPr>
      </w:pPr>
      <w:r>
        <w:rPr>
          <w:rFonts w:hint="default" w:ascii="Times New Roman Bold Italic" w:hAnsi="Times New Roman Bold Italic" w:eastAsia="宋体" w:cs="Times New Roman Bold Italic"/>
          <w:b/>
          <w:bCs/>
          <w:i/>
          <w:iCs/>
          <w:sz w:val="22"/>
          <w:szCs w:val="22"/>
          <w:lang w:val="en-US" w:eastAsia="zh-CN"/>
        </w:rPr>
        <w:t xml:space="preserve">Observation 6: </w:t>
      </w:r>
      <w:r>
        <w:rPr>
          <w:rFonts w:hint="default" w:ascii="Times New Roman Bold Italic" w:hAnsi="Times New Roman Bold Italic" w:eastAsia="宋体" w:cs="Times New Roman Bold Italic"/>
          <w:b/>
          <w:bCs/>
          <w:i/>
          <w:iCs/>
          <w:sz w:val="22"/>
          <w:szCs w:val="22"/>
        </w:rPr>
        <w:t>For scheduled D2R data (non-RA uplink), FDM would allow multiple devices to transmit simultaneously on different subbands, increasing throughput.</w:t>
      </w:r>
    </w:p>
    <w:p w14:paraId="00D107D9">
      <w:pPr>
        <w:pStyle w:val="17"/>
        <w:rPr>
          <w:rFonts w:hint="default" w:ascii="Times New Roman Bold Italic" w:hAnsi="Times New Roman Bold Italic" w:eastAsia="宋体" w:cs="Times New Roman Bold Italic"/>
          <w:b/>
          <w:bCs/>
          <w:i/>
          <w:iCs/>
          <w:sz w:val="22"/>
          <w:szCs w:val="22"/>
        </w:rPr>
      </w:pPr>
      <w:r>
        <w:rPr>
          <w:rFonts w:hint="default" w:ascii="Times New Roman Bold Italic" w:hAnsi="Times New Roman Bold Italic" w:eastAsia="宋体" w:cs="Times New Roman Bold Italic"/>
          <w:b/>
          <w:bCs/>
          <w:i/>
          <w:iCs/>
          <w:sz w:val="22"/>
          <w:szCs w:val="22"/>
          <w:lang w:val="en-US" w:eastAsia="zh-CN"/>
        </w:rPr>
        <w:t xml:space="preserve">Observation 7: What reader handles multi-devices reception with FDM scheme needs special receivers </w:t>
      </w:r>
      <w:r>
        <w:rPr>
          <w:rFonts w:hint="default" w:ascii="Times New Roman Bold Italic" w:hAnsi="Times New Roman Bold Italic" w:eastAsia="宋体" w:cs="Times New Roman Bold Italic"/>
          <w:b/>
          <w:bCs/>
          <w:i/>
          <w:iCs/>
          <w:sz w:val="22"/>
          <w:szCs w:val="22"/>
        </w:rPr>
        <w:t xml:space="preserve">like an OFDM receiver that can demodulate separate narrowband channels. </w:t>
      </w:r>
    </w:p>
    <w:p w14:paraId="0CCDED58">
      <w:pPr>
        <w:rPr>
          <w:rFonts w:hint="default" w:ascii="Times New Roman Bold Italic" w:hAnsi="Times New Roman Bold Italic" w:cs="Times New Roman Bold Italic"/>
          <w:b/>
          <w:bCs/>
          <w:i/>
          <w:iCs/>
          <w:szCs w:val="20"/>
          <w:lang w:eastAsia="ko-KR"/>
        </w:rPr>
      </w:pPr>
    </w:p>
    <w:p w14:paraId="41785C32">
      <w:pPr>
        <w:rPr>
          <w:rFonts w:hint="default" w:ascii="Times New Roman Bold Italic" w:hAnsi="Times New Roman Bold Italic" w:eastAsia="宋体" w:cs="Times New Roman Bold Italic"/>
          <w:b/>
          <w:bCs/>
          <w:i/>
          <w:iCs/>
          <w:szCs w:val="20"/>
          <w:lang w:val="en-US" w:eastAsia="ko-KR"/>
        </w:rPr>
      </w:pPr>
      <w:r>
        <w:rPr>
          <w:rFonts w:hint="default" w:ascii="Times New Roman Bold Italic" w:hAnsi="Times New Roman Bold Italic" w:cs="Times New Roman Bold Italic"/>
          <w:b/>
          <w:bCs/>
          <w:i/>
          <w:iCs/>
          <w:lang w:eastAsia="zh-CN"/>
        </w:rPr>
        <w:t xml:space="preserve">Proposal 7: Consider larger </w:t>
      </w:r>
      <w:r>
        <w:rPr>
          <w:rFonts w:hint="default" w:ascii="Times New Roman Bold Italic" w:hAnsi="Times New Roman Bold Italic" w:cs="Times New Roman Bold Italic"/>
          <w:b/>
          <w:bCs/>
          <w:i/>
          <w:iCs/>
          <w:szCs w:val="20"/>
          <w:lang w:eastAsia="ko-KR"/>
        </w:rPr>
        <w:t>number of frequency domain resources for MSG1/Msg3 transmission for Device 2b/C.</w:t>
      </w:r>
    </w:p>
    <w:p w14:paraId="339DFBE2">
      <w:pPr>
        <w:rPr>
          <w:rFonts w:hint="default" w:ascii="Times New Roman Bold Italic" w:hAnsi="Times New Roman Bold Italic" w:eastAsia="宋体" w:cs="Times New Roman Bold Italic"/>
          <w:b/>
          <w:bCs/>
          <w:i/>
          <w:iCs/>
          <w:szCs w:val="20"/>
          <w:lang w:val="en-US" w:eastAsia="zh-CN"/>
        </w:rPr>
      </w:pPr>
      <w:r>
        <w:rPr>
          <w:rFonts w:hint="eastAsia" w:ascii="Times New Roman Bold Italic" w:hAnsi="Times New Roman Bold Italic" w:eastAsia="宋体" w:cs="Times New Roman Bold Italic"/>
          <w:b/>
          <w:bCs/>
          <w:i/>
          <w:iCs/>
          <w:szCs w:val="20"/>
          <w:lang w:val="en-US" w:eastAsia="zh-CN"/>
        </w:rPr>
        <w:t xml:space="preserve">Proposal </w:t>
      </w:r>
      <w:r>
        <w:rPr>
          <w:rFonts w:hint="eastAsia" w:ascii="Times New Roman Bold Italic" w:hAnsi="Times New Roman Bold Italic" w:cs="Times New Roman Bold Italic"/>
          <w:b/>
          <w:bCs/>
          <w:i/>
          <w:iCs/>
          <w:szCs w:val="20"/>
          <w:lang w:val="en-US" w:eastAsia="zh-CN"/>
        </w:rPr>
        <w:t>8</w:t>
      </w:r>
      <w:r>
        <w:rPr>
          <w:rFonts w:hint="eastAsia" w:ascii="Times New Roman Bold Italic" w:hAnsi="Times New Roman Bold Italic" w:eastAsia="宋体" w:cs="Times New Roman Bold Italic"/>
          <w:b/>
          <w:bCs/>
          <w:i/>
          <w:iCs/>
          <w:szCs w:val="20"/>
          <w:lang w:val="en-US" w:eastAsia="zh-CN"/>
        </w:rPr>
        <w:t>: Oscillator with different carrier frequency target at RF part could be used for D2R FDM scheme.</w:t>
      </w:r>
    </w:p>
    <w:p w14:paraId="77B5A8C7">
      <w:pPr>
        <w:rPr>
          <w:rFonts w:hint="eastAsia"/>
          <w:lang w:eastAsia="zh-CN"/>
        </w:rPr>
      </w:pPr>
    </w:p>
    <w:p w14:paraId="47C897E7">
      <w:pPr>
        <w:pStyle w:val="17"/>
      </w:pPr>
      <w:r>
        <w:t xml:space="preserve">We note from TR 38.769 that CDMA and FDM were considered as ways to improve resource utilization. </w:t>
      </w:r>
      <w:r>
        <w:rPr>
          <w:rFonts w:hint="eastAsia"/>
          <w:lang w:val="en-US" w:eastAsia="zh-CN"/>
        </w:rPr>
        <w:t>We</w:t>
      </w:r>
      <w:r>
        <w:t xml:space="preserve"> acknowledged CFO calibration improvement makes these feasible for active devices.</w:t>
      </w:r>
    </w:p>
    <w:p w14:paraId="2BA07D83">
      <w:pPr>
        <w:pStyle w:val="83"/>
      </w:pPr>
      <w:r>
        <w:rPr>
          <w:rFonts w:hint="eastAsia"/>
          <w:lang w:val="en-US" w:eastAsia="zh-CN"/>
        </w:rPr>
        <w:t>From agreement in last meeting, i</w:t>
      </w:r>
      <w:r>
        <w:t>t suggests possibly using a spread-spectrum approach for the uplink, where devices could transmit simultaneously overlaid with different spreading codes. For example, multiple Device C tags could send a sequence (like a Gold code) for Msg1 instead of a single-tone OOK. The advantage is potentially improved capacity (many devices can try at once with reduced collision, unsourced RA style) and some processing gain against noise. The disadvantage is higher complexity: the reader would need a correlation receiver to detect these sequences, and devices need to generate sequences. Device C, being the high-end (up to 10 mW, maybe with a microcontroller), might manage the sequence generation and timing. Device 2b (a few hundred µW) might be borderline for CDMA, but maybe if simplified (short codes, on-off keying of a known sequence).</w:t>
      </w:r>
    </w:p>
    <w:p w14:paraId="08FD3D45">
      <w:pPr>
        <w:pStyle w:val="17"/>
      </w:pPr>
      <w:r>
        <w:t xml:space="preserve"> CDMA for ambient IoT faces challenges such as requiring fine timing and complex correlation, thus high cost for devices or readers. But if Device C is considered, perhaps it’s acceptable since Device C is a more capable device (with a battery, higher budget and presumably used in scenarios needing higher performance).</w:t>
      </w:r>
    </w:p>
    <w:p w14:paraId="2764A936">
      <w:pPr>
        <w:pStyle w:val="17"/>
      </w:pPr>
      <w:r>
        <w:t>The device could transmit a spread spectrum Msg1 (e.g., a 32-bit ID encoded as a 128-chip code sequence). Multiple devices do this with different codes in the same time-frequency slot. The reader collects the composite and performs multi-user detection (or simply tries correlating with all possible codes to find which ones were sent). This is akin to unsourced random access (where devices use a codebook of sequences). TR38.769 text alluded that CDMA can improve resource utilization efficiency but was a concern due to device 1 limitations. Now with device C, those concerns lessen somewhat (still need to ensure complexity is okay).</w:t>
      </w:r>
    </w:p>
    <w:p w14:paraId="4C877AC6">
      <w:pPr>
        <w:pStyle w:val="17"/>
      </w:pPr>
      <w:r>
        <w:t>Since CFO and SFO for device 2b/C will be calibrated much better than device 1,  at least some small-scale CDMA might be practical. For example, device transmissions could include a short spreading (like each bit repeated as a length-4 code) to allow some multipath diversity or interference averaging. Or a fully spread preamble for RA.</w:t>
      </w:r>
    </w:p>
    <w:p w14:paraId="3D02694C">
      <w:pPr>
        <w:pStyle w:val="17"/>
      </w:pPr>
      <w:r>
        <w:t xml:space="preserve">The line </w:t>
      </w:r>
      <w:r>
        <w:rPr>
          <w:i/>
          <w:iCs/>
        </w:rPr>
        <w:t>“</w:t>
      </w:r>
      <w:r>
        <w:rPr>
          <w:i w:val="0"/>
          <w:iCs w:val="0"/>
        </w:rPr>
        <w:t>sequence-based Msg1 transmission</w:t>
      </w:r>
      <w:r>
        <w:rPr>
          <w:i/>
          <w:iCs/>
        </w:rPr>
        <w:t>”</w:t>
      </w:r>
      <w:r>
        <w:t xml:space="preserve"> strongly suggests thinking of RA preamble as a spread sequence (like in LTE PRACH, where preambles are Zadoff-Chu sequences). </w:t>
      </w:r>
      <w:r>
        <w:rPr>
          <w:rFonts w:hint="eastAsia"/>
          <w:lang w:val="en-US" w:eastAsia="zh-CN"/>
        </w:rPr>
        <w:t>E</w:t>
      </w:r>
      <w:r>
        <w:t xml:space="preserve">ach device in RA could choose one of many sequences to transmit as Msg1. That’s a form of CDMA (really it’s code-division in the sense of selecting a preamble signature). The “potential impact to random access procedures” refers to how collision detection/resolution would work if two devices picked the same sequence or different sequences. If sequences are orthogonal, multiple devices could be identified by different sequence detection (like how LTE can detect multiple PRACH preambles if </w:t>
      </w:r>
      <w:r>
        <w:rPr>
          <w:rFonts w:hint="eastAsia"/>
          <w:lang w:val="en-US" w:eastAsia="zh-CN"/>
        </w:rPr>
        <w:t xml:space="preserve">they </w:t>
      </w:r>
      <w:r>
        <w:t xml:space="preserve">don’t collide in time and frequency). </w:t>
      </w:r>
      <w:r>
        <w:rPr>
          <w:rFonts w:hint="eastAsia"/>
          <w:lang w:val="en-US" w:eastAsia="zh-CN"/>
        </w:rPr>
        <w:t>We</w:t>
      </w:r>
      <w:r>
        <w:t xml:space="preserve"> might be borrowing that concept: define, say, 32 possible preamble sequences for Ambient IoT RA (Device C), so devices choose randomly among them. This drastically reduces collision probability and is a form of CDMA (with trivial device complexity: storing a 32-symbol sequence and toggling modulator accordingly). The reader does correlation with all 32 possible sequences to find peaks. That’s feasible given Device C might be used in a network with an eNB/gNB that can do such DSP (like PRACH detection).</w:t>
      </w:r>
    </w:p>
    <w:p w14:paraId="07E74F87">
      <w:pPr>
        <w:pStyle w:val="17"/>
      </w:pPr>
      <w:r>
        <w:t>So CDMA could be applied either as: (a) a contention preamble mechanism (like PRACH style) – likely for Msg1. (b) a data spreading mechanism for simultaneous data uplinks – more complex, probably less likely in short term.</w:t>
      </w:r>
    </w:p>
    <w:p w14:paraId="1748F697">
      <w:pPr>
        <w:pStyle w:val="17"/>
        <w:rPr>
          <w:rFonts w:hint="eastAsia"/>
          <w:lang w:eastAsia="zh-CN"/>
        </w:rPr>
      </w:pPr>
    </w:p>
    <w:p w14:paraId="70E0780B">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9</w:t>
      </w:r>
      <w:r>
        <w:rPr>
          <w:rFonts w:hint="default" w:ascii="Times New Roman Bold Italic" w:hAnsi="Times New Roman Bold Italic" w:cs="Times New Roman Bold Italic"/>
          <w:b/>
          <w:bCs/>
          <w:i/>
          <w:iCs/>
          <w:lang w:eastAsia="zh-CN"/>
        </w:rPr>
        <w:t xml:space="preserve">: Consider CDMA for D2R </w:t>
      </w:r>
      <w:r>
        <w:rPr>
          <w:rFonts w:hint="eastAsia" w:ascii="Times New Roman Bold Italic" w:hAnsi="Times New Roman Bold Italic" w:cs="Times New Roman Bold Italic"/>
          <w:b/>
          <w:bCs/>
          <w:i/>
          <w:iCs/>
          <w:lang w:val="en-US" w:eastAsia="zh-CN"/>
        </w:rPr>
        <w:t xml:space="preserve">Msg 1 </w:t>
      </w:r>
      <w:r>
        <w:rPr>
          <w:rFonts w:hint="default" w:ascii="Times New Roman Bold Italic" w:hAnsi="Times New Roman Bold Italic" w:cs="Times New Roman Bold Italic"/>
          <w:b/>
          <w:bCs/>
          <w:i/>
          <w:iCs/>
          <w:lang w:eastAsia="zh-CN"/>
        </w:rPr>
        <w:t xml:space="preserve">transmission at least for </w:t>
      </w:r>
      <w:r>
        <w:rPr>
          <w:rFonts w:hint="default" w:ascii="Times New Roman Bold Italic" w:hAnsi="Times New Roman Bold Italic" w:cs="Times New Roman Bold Italic"/>
          <w:b/>
          <w:bCs/>
          <w:i/>
          <w:iCs/>
        </w:rPr>
        <w:t>Device C</w:t>
      </w:r>
      <w:r>
        <w:rPr>
          <w:rFonts w:hint="eastAsia" w:ascii="Times New Roman Bold Italic" w:hAnsi="Times New Roman Bold Italic" w:cs="Times New Roman Bold Italic"/>
          <w:b/>
          <w:bCs/>
          <w:i/>
          <w:iCs/>
          <w:lang w:val="en-US" w:eastAsia="zh-CN"/>
        </w:rPr>
        <w:t xml:space="preserve"> and study if LTE PRACH with ZC sequences could be used as baseline for further study.</w:t>
      </w:r>
    </w:p>
    <w:p w14:paraId="7DDBF77A">
      <w:pPr>
        <w:pStyle w:val="4"/>
        <w:numPr>
          <w:numId w:val="0"/>
        </w:numPr>
        <w:tabs>
          <w:tab w:val="clear" w:pos="720"/>
        </w:tabs>
        <w:ind w:leftChars="0"/>
        <w:rPr>
          <w:sz w:val="24"/>
          <w:szCs w:val="24"/>
          <w:lang w:eastAsia="zh-CN"/>
        </w:rPr>
      </w:pPr>
      <w:r>
        <w:rPr>
          <w:rFonts w:hint="eastAsia"/>
          <w:sz w:val="24"/>
          <w:szCs w:val="24"/>
          <w:lang w:val="en-US" w:eastAsia="zh-CN"/>
        </w:rPr>
        <w:t>2.6 Amble insertion</w:t>
      </w:r>
    </w:p>
    <w:p w14:paraId="0DA3CEAE">
      <w:pPr>
        <w:rPr>
          <w:lang w:eastAsia="zh-CN"/>
        </w:rPr>
      </w:pPr>
      <w:r>
        <w:rPr>
          <w:lang w:eastAsia="zh-CN"/>
        </w:rPr>
        <w:t xml:space="preserve">In last meeting, </w:t>
      </w:r>
      <w:r>
        <w:rPr>
          <w:lang w:eastAsia="ko-KR"/>
        </w:rPr>
        <w:t xml:space="preserve">the following agreement on </w:t>
      </w:r>
      <w:r>
        <w:rPr>
          <w:rFonts w:hint="eastAsia"/>
          <w:lang w:val="en-US" w:eastAsia="zh-CN"/>
        </w:rPr>
        <w:t>amble insertion</w:t>
      </w:r>
      <w:r>
        <w:rPr>
          <w:sz w:val="24"/>
          <w:szCs w:val="24"/>
          <w:lang w:eastAsia="zh-CN"/>
        </w:rPr>
        <w:t xml:space="preserve"> </w:t>
      </w:r>
      <w:r>
        <w:rPr>
          <w:lang w:eastAsia="ko-KR"/>
        </w:rPr>
        <w:t xml:space="preserve">was achieved.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5A39171">
        <w:tc>
          <w:tcPr>
            <w:tcW w:w="9307" w:type="dxa"/>
          </w:tcPr>
          <w:p w14:paraId="7A9B42A5">
            <w:pPr>
              <w:widowControl w:val="0"/>
              <w:rPr>
                <w:rFonts w:hint="default" w:ascii="Times New Roman Regular" w:hAnsi="Times New Roman Regular" w:cs="Times New Roman Regular"/>
                <w:b/>
                <w:bCs/>
                <w:sz w:val="22"/>
                <w:szCs w:val="22"/>
                <w:highlight w:val="green"/>
              </w:rPr>
            </w:pPr>
            <w:r>
              <w:rPr>
                <w:rFonts w:hint="default" w:ascii="Times New Roman Regular" w:hAnsi="Times New Roman Regular" w:cs="Times New Roman Regular"/>
                <w:b/>
                <w:bCs/>
                <w:sz w:val="22"/>
                <w:szCs w:val="22"/>
                <w:highlight w:val="green"/>
              </w:rPr>
              <w:t>Agreement</w:t>
            </w:r>
          </w:p>
          <w:p w14:paraId="5C144473">
            <w:pPr>
              <w:widowControl w:val="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Regarding D2R preamble for PDRCH, study the following aspects of the D2R preamble.</w:t>
            </w:r>
          </w:p>
          <w:p w14:paraId="781B3C83">
            <w:pPr>
              <w:pStyle w:val="48"/>
              <w:widowControl w:val="0"/>
              <w:numPr>
                <w:ilvl w:val="0"/>
                <w:numId w:val="9"/>
              </w:numPr>
              <w:spacing w:after="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lang w:eastAsia="ko-KR"/>
              </w:rPr>
              <w:t>Preamble length (e.g., longer than Rel-19 D2R preamble)</w:t>
            </w:r>
          </w:p>
          <w:p w14:paraId="4CD9A200">
            <w:pPr>
              <w:pStyle w:val="48"/>
              <w:widowControl w:val="0"/>
              <w:numPr>
                <w:ilvl w:val="0"/>
                <w:numId w:val="9"/>
              </w:numPr>
              <w:spacing w:after="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lang w:eastAsia="ko-KR"/>
              </w:rPr>
              <w:t>Sequence type</w:t>
            </w:r>
          </w:p>
          <w:p w14:paraId="1189A221">
            <w:pPr>
              <w:pStyle w:val="48"/>
              <w:widowControl w:val="0"/>
              <w:numPr>
                <w:ilvl w:val="0"/>
                <w:numId w:val="9"/>
              </w:numPr>
              <w:spacing w:after="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lang w:eastAsia="ko-KR"/>
              </w:rPr>
              <w:t>Number of sequences using the same length (e.g., for reader/device differentiation)</w:t>
            </w:r>
          </w:p>
          <w:p w14:paraId="247D5DEC">
            <w:pPr>
              <w:pStyle w:val="48"/>
              <w:widowControl w:val="0"/>
              <w:numPr>
                <w:ilvl w:val="0"/>
                <w:numId w:val="9"/>
              </w:numPr>
              <w:spacing w:after="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lang w:eastAsia="ko-KR"/>
              </w:rPr>
              <w:t>Considering other factors affecting preamble design (e.g., D2R modulation and detection schemes)</w:t>
            </w:r>
          </w:p>
          <w:p w14:paraId="79BD2311">
            <w:pPr>
              <w:widowControl w:val="0"/>
              <w:rPr>
                <w:rFonts w:hint="default" w:ascii="Times New Roman Regular" w:hAnsi="Times New Roman Regular" w:cs="Times New Roman Regular"/>
                <w:sz w:val="22"/>
                <w:szCs w:val="22"/>
              </w:rPr>
            </w:pPr>
          </w:p>
          <w:p w14:paraId="7A98EA26">
            <w:pPr>
              <w:widowControl w:val="0"/>
              <w:rPr>
                <w:rFonts w:hint="default" w:ascii="Times New Roman Regular" w:hAnsi="Times New Roman Regular" w:cs="Times New Roman Regular"/>
                <w:b/>
                <w:bCs/>
                <w:sz w:val="22"/>
                <w:szCs w:val="22"/>
                <w:highlight w:val="green"/>
              </w:rPr>
            </w:pPr>
            <w:r>
              <w:rPr>
                <w:rFonts w:hint="default" w:ascii="Times New Roman Regular" w:hAnsi="Times New Roman Regular" w:cs="Times New Roman Regular"/>
                <w:b/>
                <w:bCs/>
                <w:sz w:val="22"/>
                <w:szCs w:val="22"/>
                <w:highlight w:val="green"/>
              </w:rPr>
              <w:t>Agreement</w:t>
            </w:r>
          </w:p>
          <w:p w14:paraId="42D60C75">
            <w:pPr>
              <w:widowControl w:val="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Regarding D2R midamble for PDRCH, study the following aspects of the D2R midamble.</w:t>
            </w:r>
          </w:p>
          <w:p w14:paraId="154AD2CA">
            <w:pPr>
              <w:pStyle w:val="48"/>
              <w:widowControl w:val="0"/>
              <w:numPr>
                <w:ilvl w:val="0"/>
                <w:numId w:val="9"/>
              </w:numPr>
              <w:spacing w:after="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lang w:eastAsia="ko-KR"/>
              </w:rPr>
              <w:t>Midamble pattern(s) including the length(s) and interval(s) within (and possibly at the end of) a PDRCH</w:t>
            </w:r>
          </w:p>
          <w:p w14:paraId="66142B88">
            <w:pPr>
              <w:pStyle w:val="48"/>
              <w:widowControl w:val="0"/>
              <w:numPr>
                <w:ilvl w:val="0"/>
                <w:numId w:val="9"/>
              </w:numPr>
              <w:spacing w:after="0"/>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lang w:eastAsia="ko-KR"/>
              </w:rPr>
              <w:t>Sequence type, and whether the same or different sequence type is used for D2R preamble and D2R midamble</w:t>
            </w:r>
          </w:p>
          <w:p w14:paraId="65F9FB68">
            <w:pPr>
              <w:pStyle w:val="48"/>
              <w:widowControl w:val="0"/>
              <w:numPr>
                <w:ilvl w:val="0"/>
                <w:numId w:val="9"/>
              </w:numPr>
              <w:spacing w:after="0"/>
            </w:pPr>
            <w:r>
              <w:rPr>
                <w:rFonts w:hint="default" w:ascii="Times New Roman Regular" w:hAnsi="Times New Roman Regular" w:cs="Times New Roman Regular"/>
                <w:sz w:val="22"/>
                <w:szCs w:val="22"/>
                <w:lang w:eastAsia="ko-KR"/>
              </w:rPr>
              <w:t>Considering other factors affecting midamble design (e.g., D2R modulation and detection schemes)</w:t>
            </w:r>
          </w:p>
        </w:tc>
      </w:tr>
    </w:tbl>
    <w:p w14:paraId="1545F92F">
      <w:pPr>
        <w:pStyle w:val="83"/>
        <w:rPr>
          <w:rFonts w:hint="default" w:ascii="Times New Roman" w:hAnsi="Times New Roman" w:cs="Times New Roman"/>
          <w:b w:val="0"/>
          <w:bCs w:val="0"/>
          <w:sz w:val="22"/>
          <w:szCs w:val="22"/>
        </w:rPr>
      </w:pPr>
      <w:r>
        <w:rPr>
          <w:rFonts w:hint="default" w:ascii="Times New Roman" w:hAnsi="Times New Roman" w:cs="Times New Roman"/>
          <w:b w:val="0"/>
          <w:bCs w:val="0"/>
          <w:sz w:val="22"/>
          <w:szCs w:val="22"/>
        </w:rPr>
        <w:t>In the last meeting, agreements were reached regarding the design of D2R preamble and midamble for the PDRCH (Device-to-Reader channel). These “ambles” are short known reference sequences inserted at the beginning (preamble) and possibly in the middle of a transmission (midamble) to assist the reader in tasks like synchronization, channel estimation, and frequency offset tracking.</w:t>
      </w:r>
    </w:p>
    <w:p w14:paraId="3CF0EC3A">
      <w:pPr>
        <w:pStyle w:val="17"/>
        <w:rPr>
          <w:rFonts w:hint="default" w:ascii="Times New Roman" w:hAnsi="Times New Roman" w:cs="Times New Roman"/>
          <w:b w:val="0"/>
          <w:bCs w:val="0"/>
          <w:sz w:val="22"/>
          <w:szCs w:val="22"/>
        </w:rPr>
      </w:pPr>
    </w:p>
    <w:p w14:paraId="2ED15FC1">
      <w:pPr>
        <w:pStyle w:val="17"/>
        <w:numPr>
          <w:ilvl w:val="0"/>
          <w:numId w:val="0"/>
        </w:numPr>
        <w:ind w:leftChars="0"/>
        <w:outlineLvl w:val="3"/>
        <w:rPr>
          <w:rFonts w:hint="default" w:ascii="Times New Roman" w:hAnsi="Times New Roman" w:eastAsia="宋体" w:cs="Times New Roman"/>
          <w:b w:val="0"/>
          <w:bCs w:val="0"/>
          <w:sz w:val="22"/>
          <w:szCs w:val="22"/>
          <w:lang w:val="en-US" w:eastAsia="zh-CN"/>
        </w:rPr>
      </w:pPr>
      <w:r>
        <w:rPr>
          <w:rFonts w:hint="eastAsia" w:cs="Times New Roman"/>
          <w:b w:val="0"/>
          <w:bCs w:val="0"/>
          <w:sz w:val="22"/>
          <w:szCs w:val="22"/>
          <w:lang w:val="en-US" w:eastAsia="zh-CN"/>
        </w:rPr>
        <w:t>2.6.1 D2R Preamble</w:t>
      </w:r>
    </w:p>
    <w:p w14:paraId="2938C56D">
      <w:pPr>
        <w:pStyle w:val="17"/>
      </w:pPr>
      <w:r>
        <w:t xml:space="preserve">In Rel-19, device 1’s D2R was very limited in duration and used simple modulation (OOK/BPSK). </w:t>
      </w:r>
      <w:r>
        <w:rPr>
          <w:rFonts w:hint="eastAsia"/>
          <w:lang w:val="en-US" w:eastAsia="zh-CN"/>
        </w:rPr>
        <w:t>It</w:t>
      </w:r>
      <w:r>
        <w:t xml:space="preserve"> include a</w:t>
      </w:r>
      <w:r>
        <w:rPr>
          <w:rFonts w:hint="default" w:ascii="Times New Roman" w:hAnsi="Times New Roman" w:cs="Times New Roman"/>
          <w:b w:val="0"/>
          <w:bCs w:val="0"/>
        </w:rPr>
        <w:t xml:space="preserve"> short preamble</w:t>
      </w:r>
      <w:r>
        <w:t xml:space="preserve"> for the D2R transmission to let the reader detect the presence of a tag’s response and align to it. The TR 38.769 described a D-TAS (D2R timing acquisition signal) as a preamble for D2R that indicates start of PDRCH and can be used for CFO/SFO and channel estimation. For device 1, this preamble might have been very short (because device 1 had extremely limited energy, so overhead had to be minimal). Possibly a few chips of an on-off pattern (the TR mention: "binary signal with good autocorrelation").</w:t>
      </w:r>
    </w:p>
    <w:p w14:paraId="56502ED5">
      <w:pPr>
        <w:pStyle w:val="17"/>
      </w:pPr>
      <w:r>
        <w:t xml:space="preserve">For Device 2b/C, since transmissions will be longer (with FEC, possibly multiple slots, etc.) and possibly coherent detection is desirable, a </w:t>
      </w:r>
      <w:r>
        <w:rPr>
          <w:b w:val="0"/>
          <w:bCs w:val="0"/>
        </w:rPr>
        <w:t>longer or more robust preamble</w:t>
      </w:r>
      <w:r>
        <w:t xml:space="preserve"> is warranted. A longer preamble can improve the reader’s ability to detect the burst in low SNR, perform initial frequency offset estimation, and obtain a channel estimate.</w:t>
      </w:r>
    </w:p>
    <w:p w14:paraId="362BD6AA">
      <w:pPr>
        <w:pStyle w:val="17"/>
        <w:rPr>
          <w:sz w:val="22"/>
          <w:szCs w:val="22"/>
        </w:rPr>
      </w:pPr>
      <w:r>
        <w:rPr>
          <w:b/>
          <w:bCs/>
          <w:sz w:val="22"/>
          <w:szCs w:val="22"/>
        </w:rPr>
        <w:t>Preamble length:</w:t>
      </w:r>
      <w:r>
        <w:rPr>
          <w:sz w:val="22"/>
          <w:szCs w:val="22"/>
        </w:rPr>
        <w:t xml:space="preserve"> If Rel-19 preamble was, say, 8 bits, we might consider 16 or 32 bits for Rel-20 devices. Longer preambles improve detection probability and allow using sequences with good correlation properties to mitigate noise and multipath. In outdoor scenarios, there may be more multipath delay spread than indoor (tags might be further and near ground causing reflections). A longer preamble can help in multipath by e.g. using a known sequence that the reader correlates with, enabling path timing estimation.</w:t>
      </w:r>
    </w:p>
    <w:p w14:paraId="1B34ADEF">
      <w:pPr>
        <w:pStyle w:val="17"/>
        <w:rPr>
          <w:sz w:val="22"/>
          <w:szCs w:val="22"/>
        </w:rPr>
      </w:pPr>
      <w:r>
        <w:rPr>
          <w:b/>
          <w:bCs/>
          <w:sz w:val="22"/>
          <w:szCs w:val="22"/>
        </w:rPr>
        <w:t>Sequence type:</w:t>
      </w:r>
      <w:r>
        <w:rPr>
          <w:sz w:val="22"/>
          <w:szCs w:val="22"/>
        </w:rPr>
        <w:t xml:space="preserve"> We want a sequence with good autocorrelation (sharp peak, low sidelobes) so the reader can time-align easily (classic choices: Zadoff-Chu, m-sequences, Gold codes, etc., or even a Barker code for short lengths). It might also need to be easy for device to generate. Given devices are simple, a linear feedback shift register (LFSR) based m-sequence might be suitable (</w:t>
      </w:r>
      <w:r>
        <w:rPr>
          <w:rFonts w:hint="eastAsia"/>
          <w:sz w:val="22"/>
          <w:szCs w:val="22"/>
          <w:lang w:val="en-US" w:eastAsia="zh-CN"/>
        </w:rPr>
        <w:t>it</w:t>
      </w:r>
      <w:r>
        <w:rPr>
          <w:sz w:val="22"/>
          <w:szCs w:val="22"/>
        </w:rPr>
        <w:t xml:space="preserve"> can generate it on the fly cheaply). Alternatively, a small set of such sequences could be stored.</w:t>
      </w:r>
    </w:p>
    <w:p w14:paraId="664A3D4D">
      <w:pPr>
        <w:pStyle w:val="17"/>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8</w:t>
      </w:r>
      <w:r>
        <w:rPr>
          <w:rFonts w:hint="default" w:ascii="Times New Roman Bold Italic" w:hAnsi="Times New Roman Bold Italic" w:cs="Times New Roman Bold Italic"/>
          <w:b/>
          <w:bCs/>
          <w:i/>
          <w:iCs/>
          <w:sz w:val="22"/>
          <w:szCs w:val="22"/>
          <w:lang w:val="en-US" w:eastAsia="zh-CN"/>
        </w:rPr>
        <w:t xml:space="preserve">: Longer Preambles and a sequence with good autocorrlation (e.g., </w:t>
      </w:r>
      <w:r>
        <w:rPr>
          <w:rFonts w:hint="default" w:ascii="Times New Roman Bold Italic" w:hAnsi="Times New Roman Bold Italic" w:cs="Times New Roman Bold Italic"/>
          <w:b/>
          <w:bCs/>
          <w:i/>
          <w:iCs/>
          <w:sz w:val="22"/>
          <w:szCs w:val="22"/>
        </w:rPr>
        <w:t>sharp peak, low sidelobes</w:t>
      </w:r>
      <w:r>
        <w:rPr>
          <w:rFonts w:hint="default" w:ascii="Times New Roman Bold Italic" w:hAnsi="Times New Roman Bold Italic" w:cs="Times New Roman Bold Italic"/>
          <w:b/>
          <w:bCs/>
          <w:i/>
          <w:iCs/>
          <w:sz w:val="22"/>
          <w:szCs w:val="22"/>
          <w:lang w:val="en-US" w:eastAsia="zh-CN"/>
        </w:rPr>
        <w:t>) can bring better performances for D2R Preamble that Rel-19.</w:t>
      </w:r>
    </w:p>
    <w:p w14:paraId="2D73C04D">
      <w:pPr>
        <w:pStyle w:val="17"/>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Proposal 1</w:t>
      </w:r>
      <w:r>
        <w:rPr>
          <w:rFonts w:hint="eastAsia" w:ascii="Times New Roman Bold Italic" w:hAnsi="Times New Roman Bold Italic" w:cs="Times New Roman Bold Italic"/>
          <w:b/>
          <w:bCs/>
          <w:i/>
          <w:iCs/>
          <w:sz w:val="22"/>
          <w:szCs w:val="22"/>
          <w:lang w:val="en-US" w:eastAsia="zh-CN"/>
        </w:rPr>
        <w:t>0</w:t>
      </w:r>
      <w:r>
        <w:rPr>
          <w:rFonts w:hint="default" w:ascii="Times New Roman Bold Italic" w:hAnsi="Times New Roman Bold Italic" w:cs="Times New Roman Bold Italic"/>
          <w:b/>
          <w:bCs/>
          <w:i/>
          <w:iCs/>
          <w:sz w:val="22"/>
          <w:szCs w:val="22"/>
          <w:lang w:val="en-US" w:eastAsia="zh-CN"/>
        </w:rPr>
        <w:t>: Support longer Preamble (e.g., 16 bit or 32 bit) and sequence with good autocorrlation (e.g., m-sequence or Gold sequence) .</w:t>
      </w:r>
    </w:p>
    <w:p w14:paraId="345A717B">
      <w:pPr>
        <w:pStyle w:val="17"/>
        <w:rPr>
          <w:rFonts w:hint="default" w:ascii="Times New Roman Bold" w:hAnsi="Times New Roman Bold" w:cs="Times New Roman Bold"/>
          <w:b/>
          <w:bCs/>
          <w:sz w:val="22"/>
          <w:szCs w:val="22"/>
          <w:lang w:val="en-US" w:eastAsia="zh-CN"/>
        </w:rPr>
      </w:pPr>
    </w:p>
    <w:p w14:paraId="46E58190">
      <w:pPr>
        <w:pStyle w:val="17"/>
        <w:rPr>
          <w:rFonts w:hint="eastAsia" w:ascii="Times New Roman Bold" w:hAnsi="Times New Roman Bold" w:cs="Times New Roman Bold"/>
          <w:b/>
          <w:bCs/>
          <w:sz w:val="22"/>
          <w:szCs w:val="22"/>
          <w:lang w:val="en-US" w:eastAsia="zh-CN"/>
        </w:rPr>
      </w:pPr>
      <w:r>
        <w:rPr>
          <w:rFonts w:hint="eastAsia" w:ascii="Times New Roman Bold" w:hAnsi="Times New Roman Bold" w:cs="Times New Roman Bold"/>
          <w:b/>
          <w:bCs/>
          <w:sz w:val="22"/>
          <w:szCs w:val="22"/>
          <w:lang w:val="en-US" w:eastAsia="zh-CN"/>
        </w:rPr>
        <w:t>Other factors:</w:t>
      </w:r>
    </w:p>
    <w:p w14:paraId="480A4004">
      <w:pPr>
        <w:pStyle w:val="17"/>
        <w:numPr>
          <w:ilvl w:val="0"/>
          <w:numId w:val="12"/>
        </w:numPr>
        <w:rPr>
          <w:sz w:val="22"/>
          <w:szCs w:val="22"/>
        </w:rPr>
      </w:pPr>
      <w:r>
        <w:rPr>
          <w:b/>
          <w:bCs/>
          <w:sz w:val="22"/>
          <w:szCs w:val="22"/>
        </w:rPr>
        <w:t>Modulation &amp; detection impact:</w:t>
      </w:r>
      <w:r>
        <w:rPr>
          <w:sz w:val="22"/>
          <w:szCs w:val="22"/>
        </w:rPr>
        <w:t xml:space="preserve"> If the device uses coherent modulation (like BPSK coherent), then the preamble must allow the reader to estimate the channel’s phase and amplitude. So probably a known modulated sequence (like a BPSK PN sequence) would be sent. If non-coherent (like OOK or DBPSK), the preamble might be used more for timing and energy detection and less for phase. Additionally, if MSK or other more complex modulation is used, preamble might need to be optimized accordingly (e.g., MSK might prefer a continuous-phase preamble or a specially designed sequence that fits MSK modulation). For OOK, the preamble might just be a simple on-off pattern (like in downlink R-TAS used a pattern of on/off for start indicator).</w:t>
      </w:r>
    </w:p>
    <w:p w14:paraId="51D01C47">
      <w:pPr>
        <w:pStyle w:val="17"/>
        <w:numPr>
          <w:ilvl w:val="0"/>
          <w:numId w:val="0"/>
        </w:numPr>
        <w:rPr>
          <w:rFonts w:hint="default" w:ascii="Times New Roman Bold" w:hAnsi="Times New Roman Bold" w:cs="Times New Roman Bold"/>
          <w:b/>
          <w:bCs/>
          <w:sz w:val="22"/>
          <w:szCs w:val="22"/>
          <w:lang w:val="en-US" w:eastAsia="zh-CN"/>
        </w:rPr>
      </w:pPr>
    </w:p>
    <w:p w14:paraId="099DAEEA">
      <w:pPr>
        <w:pStyle w:val="17"/>
        <w:numPr>
          <w:ilvl w:val="0"/>
          <w:numId w:val="0"/>
        </w:numPr>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9</w:t>
      </w:r>
      <w:r>
        <w:rPr>
          <w:rFonts w:hint="default" w:ascii="Times New Roman Bold Italic" w:hAnsi="Times New Roman Bold Italic" w:cs="Times New Roman Bold Italic"/>
          <w:b/>
          <w:bCs/>
          <w:i/>
          <w:iCs/>
          <w:sz w:val="22"/>
          <w:szCs w:val="22"/>
          <w:lang w:val="en-US" w:eastAsia="zh-CN"/>
        </w:rPr>
        <w:t xml:space="preserve">: </w:t>
      </w:r>
      <w:r>
        <w:rPr>
          <w:rFonts w:hint="default" w:ascii="Times New Roman Bold Italic" w:hAnsi="Times New Roman Bold Italic" w:cs="Times New Roman Bold Italic"/>
          <w:b/>
          <w:bCs/>
          <w:i/>
          <w:iCs/>
          <w:sz w:val="22"/>
          <w:szCs w:val="22"/>
        </w:rPr>
        <w:t>If non-coherent (like OOK or DBPSK), the</w:t>
      </w:r>
      <w:r>
        <w:rPr>
          <w:rFonts w:hint="default" w:ascii="Times New Roman Bold Italic" w:hAnsi="Times New Roman Bold Italic" w:cs="Times New Roman Bold Italic"/>
          <w:b/>
          <w:bCs/>
          <w:i/>
          <w:iCs/>
          <w:sz w:val="22"/>
          <w:szCs w:val="22"/>
          <w:lang w:val="en-US" w:eastAsia="zh-CN"/>
        </w:rPr>
        <w:t xml:space="preserve"> D2R</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eastAsia="zh-CN"/>
        </w:rPr>
        <w:t>P</w:t>
      </w:r>
      <w:r>
        <w:rPr>
          <w:rFonts w:hint="default" w:ascii="Times New Roman Bold Italic" w:hAnsi="Times New Roman Bold Italic" w:cs="Times New Roman Bold Italic"/>
          <w:b/>
          <w:bCs/>
          <w:i/>
          <w:iCs/>
          <w:sz w:val="22"/>
          <w:szCs w:val="22"/>
        </w:rPr>
        <w:t>reamble might be used more for timing and energy detection and less for phase. Additionally, if MSK or other more complex modulation is used, preamble might need to be optimized accordingly</w:t>
      </w:r>
      <w:r>
        <w:rPr>
          <w:rFonts w:hint="default" w:ascii="Times New Roman Bold Italic" w:hAnsi="Times New Roman Bold Italic" w:cs="Times New Roman Bold Italic"/>
          <w:b/>
          <w:bCs/>
          <w:i/>
          <w:iCs/>
          <w:sz w:val="22"/>
          <w:szCs w:val="22"/>
          <w:lang w:val="en-US" w:eastAsia="zh-CN"/>
        </w:rPr>
        <w:t>.</w:t>
      </w:r>
    </w:p>
    <w:p w14:paraId="19066DD9">
      <w:pPr>
        <w:pStyle w:val="17"/>
        <w:numPr>
          <w:ilvl w:val="0"/>
          <w:numId w:val="0"/>
        </w:numPr>
        <w:rPr>
          <w:rFonts w:hint="default" w:ascii="Times New Roman Bold Italic" w:hAnsi="Times New Roman Bold Italic" w:cs="Times New Roman Bold Italic"/>
          <w:b/>
          <w:bCs/>
          <w:i/>
          <w:iCs/>
          <w:sz w:val="22"/>
          <w:szCs w:val="22"/>
          <w:lang w:val="en-US" w:eastAsia="zh-CN"/>
        </w:rPr>
      </w:pPr>
    </w:p>
    <w:p w14:paraId="61C27E52">
      <w:pPr>
        <w:pStyle w:val="17"/>
        <w:numPr>
          <w:ilvl w:val="0"/>
          <w:numId w:val="12"/>
        </w:numPr>
        <w:ind w:left="0" w:leftChars="0" w:firstLine="0" w:firstLineChars="0"/>
        <w:rPr>
          <w:sz w:val="22"/>
          <w:szCs w:val="22"/>
        </w:rPr>
      </w:pPr>
      <w:r>
        <w:rPr>
          <w:b/>
          <w:bCs/>
          <w:sz w:val="22"/>
          <w:szCs w:val="22"/>
        </w:rPr>
        <w:t>Multiple sequences (same length):</w:t>
      </w:r>
      <w:r>
        <w:rPr>
          <w:sz w:val="22"/>
          <w:szCs w:val="22"/>
        </w:rPr>
        <w:t xml:space="preserve"> This refers to possibly using different preamble sequences for different purposes: </w:t>
      </w:r>
    </w:p>
    <w:p w14:paraId="2E6EFAE3">
      <w:pPr>
        <w:pStyle w:val="17"/>
        <w:numPr>
          <w:ilvl w:val="0"/>
          <w:numId w:val="0"/>
        </w:numPr>
        <w:ind w:leftChars="0"/>
        <w:rPr>
          <w:sz w:val="22"/>
          <w:szCs w:val="22"/>
        </w:rPr>
      </w:pPr>
      <w:r>
        <w:rPr>
          <w:sz w:val="22"/>
          <w:szCs w:val="22"/>
        </w:rPr>
        <w:t xml:space="preserve">- </w:t>
      </w:r>
      <w:r>
        <w:rPr>
          <w:i w:val="0"/>
          <w:iCs w:val="0"/>
          <w:sz w:val="22"/>
          <w:szCs w:val="22"/>
        </w:rPr>
        <w:t>Reader differentiation</w:t>
      </w:r>
      <w:r>
        <w:rPr>
          <w:i/>
          <w:iCs/>
          <w:sz w:val="22"/>
          <w:szCs w:val="22"/>
        </w:rPr>
        <w:t>:</w:t>
      </w:r>
      <w:r>
        <w:rPr>
          <w:sz w:val="22"/>
          <w:szCs w:val="22"/>
        </w:rPr>
        <w:t xml:space="preserve"> If we envision multiple readers possibly receiving the transmission, a device could theoretically use a preamble that encodes the target reader ID or something. But more likely, "reader/device differentiation" means if multiple devices transmit (like during RA collisions or if frequency multiplexed), using distinct preambles might help the reader separate them. However, usually in a single PDRCH, one device transmits at a time. Alternatively, maybe </w:t>
      </w:r>
      <w:r>
        <w:rPr>
          <w:rFonts w:hint="eastAsia"/>
          <w:sz w:val="22"/>
          <w:szCs w:val="22"/>
          <w:lang w:val="en-US" w:eastAsia="zh-CN"/>
        </w:rPr>
        <w:t>it</w:t>
      </w:r>
      <w:r>
        <w:rPr>
          <w:sz w:val="22"/>
          <w:szCs w:val="22"/>
        </w:rPr>
        <w:t xml:space="preserve"> consider that if device transmissions happen in different frequency channels, </w:t>
      </w:r>
      <w:r>
        <w:rPr>
          <w:rFonts w:hint="eastAsia"/>
          <w:sz w:val="22"/>
          <w:szCs w:val="22"/>
          <w:lang w:val="en-US" w:eastAsia="zh-CN"/>
        </w:rPr>
        <w:t xml:space="preserve">it </w:t>
      </w:r>
      <w:r>
        <w:rPr>
          <w:sz w:val="22"/>
          <w:szCs w:val="22"/>
        </w:rPr>
        <w:t xml:space="preserve">might use different preamble sequences to avoid cross-correlation between channels. </w:t>
      </w:r>
    </w:p>
    <w:p w14:paraId="640DF3C5">
      <w:pPr>
        <w:pStyle w:val="17"/>
        <w:numPr>
          <w:ilvl w:val="0"/>
          <w:numId w:val="0"/>
        </w:numPr>
        <w:ind w:leftChars="0"/>
        <w:rPr>
          <w:sz w:val="22"/>
          <w:szCs w:val="22"/>
        </w:rPr>
      </w:pPr>
      <w:r>
        <w:rPr>
          <w:sz w:val="22"/>
          <w:szCs w:val="22"/>
        </w:rPr>
        <w:t xml:space="preserve">- It could also mean using different sequences for Device 2b vs Device C to let the reader know what type of device it is dealing with (for instance, if Device C can use a more complex sequence vs Device 2b uses a simpler one). </w:t>
      </w:r>
    </w:p>
    <w:p w14:paraId="6713E66D">
      <w:pPr>
        <w:pStyle w:val="17"/>
        <w:numPr>
          <w:ilvl w:val="0"/>
          <w:numId w:val="0"/>
        </w:numPr>
        <w:ind w:leftChars="0"/>
        <w:rPr>
          <w:sz w:val="22"/>
          <w:szCs w:val="22"/>
        </w:rPr>
      </w:pPr>
      <w:r>
        <w:rPr>
          <w:sz w:val="22"/>
          <w:szCs w:val="22"/>
        </w:rPr>
        <w:t xml:space="preserve">- Or it could simply mean a pool of preamble sequences is available so that in CDMA (if we do sequence-based RA) each device picks one. The phrasing "for reader/device differentiation" suggests perhaps the scenario where a device might get an indication which reader it's responding to (like in multi-reader environment, maybe the preamble could identify the intended reader? But usually uplink isn't reader-specific beyond frequency). It likely is more about </w:t>
      </w:r>
      <w:r>
        <w:rPr>
          <w:b w:val="0"/>
          <w:bCs w:val="0"/>
          <w:sz w:val="22"/>
          <w:szCs w:val="22"/>
        </w:rPr>
        <w:t>device differentiation</w:t>
      </w:r>
      <w:r>
        <w:rPr>
          <w:sz w:val="22"/>
          <w:szCs w:val="22"/>
        </w:rPr>
        <w:t xml:space="preserve"> in random access: multiple devices choose different preambles to reduce collision (similar to PRACH in LTE where multiple orthogonal preambles exist). This ties to our earlier discussion in CDMA. Indeed, a preamble is exactly a sequence that can be chosen from a set to allow multiple access. So </w:t>
      </w:r>
      <w:r>
        <w:rPr>
          <w:rFonts w:hint="eastAsia"/>
          <w:sz w:val="22"/>
          <w:szCs w:val="22"/>
          <w:lang w:val="en-US" w:eastAsia="zh-CN"/>
        </w:rPr>
        <w:t>it</w:t>
      </w:r>
      <w:r>
        <w:rPr>
          <w:sz w:val="22"/>
          <w:szCs w:val="22"/>
        </w:rPr>
        <w:t xml:space="preserve"> likely want to see if multiple sequences (maybe orthogonal or with low cross-correlation) can be defined for D2R preambles so that if two devices transmit at same time, a reader might detect two different sequences.</w:t>
      </w:r>
    </w:p>
    <w:p w14:paraId="52E34D25">
      <w:pPr>
        <w:pStyle w:val="17"/>
        <w:numPr>
          <w:ilvl w:val="0"/>
          <w:numId w:val="0"/>
        </w:numPr>
        <w:ind w:leftChars="0"/>
        <w:rPr>
          <w:sz w:val="22"/>
          <w:szCs w:val="22"/>
        </w:rPr>
      </w:pPr>
    </w:p>
    <w:p w14:paraId="65037790">
      <w:pPr>
        <w:pStyle w:val="17"/>
        <w:numPr>
          <w:ilvl w:val="0"/>
          <w:numId w:val="0"/>
        </w:numPr>
        <w:ind w:leftChars="0"/>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10</w:t>
      </w:r>
      <w:r>
        <w:rPr>
          <w:rFonts w:hint="default" w:ascii="Times New Roman Bold Italic" w:hAnsi="Times New Roman Bold Italic" w:cs="Times New Roman Bold Italic"/>
          <w:b/>
          <w:bCs/>
          <w:i/>
          <w:iCs/>
          <w:sz w:val="22"/>
          <w:szCs w:val="22"/>
          <w:lang w:val="en-US" w:eastAsia="zh-CN"/>
        </w:rPr>
        <w:t>: For multiple sequence for D2R Preamble, it could be used for reader differentiation or identify device types or CDMA.</w:t>
      </w:r>
    </w:p>
    <w:p w14:paraId="2558DA64">
      <w:pPr>
        <w:pStyle w:val="17"/>
        <w:numPr>
          <w:ilvl w:val="0"/>
          <w:numId w:val="0"/>
        </w:numPr>
        <w:ind w:leftChars="0"/>
        <w:rPr>
          <w:rFonts w:hint="default" w:ascii="Times New Roman Bold Italic" w:hAnsi="Times New Roman Bold Italic" w:cs="Times New Roman Bold Italic"/>
          <w:b/>
          <w:bCs/>
          <w:i/>
          <w:iCs/>
          <w:sz w:val="22"/>
          <w:szCs w:val="22"/>
          <w:lang w:val="en-US" w:eastAsia="zh-CN"/>
        </w:rPr>
      </w:pPr>
    </w:p>
    <w:p w14:paraId="181F8802">
      <w:pPr>
        <w:pStyle w:val="17"/>
        <w:numPr>
          <w:ilvl w:val="0"/>
          <w:numId w:val="0"/>
        </w:numPr>
        <w:ind w:leftChars="0"/>
        <w:rPr>
          <w:rFonts w:hint="default" w:ascii="Times New Roman Bold Italic" w:hAnsi="Times New Roman Bold Italic" w:cs="Times New Roman Bold Italic"/>
          <w:b/>
          <w:bCs/>
          <w:i/>
          <w:iCs/>
          <w:sz w:val="22"/>
          <w:szCs w:val="22"/>
          <w:lang w:val="en-US" w:eastAsia="zh-CN"/>
        </w:rPr>
      </w:pPr>
      <w:r>
        <w:rPr>
          <w:rFonts w:hint="eastAsia" w:ascii="Times New Roman Bold Italic" w:hAnsi="Times New Roman Bold Italic" w:cs="Times New Roman Bold Italic"/>
          <w:b/>
          <w:bCs/>
          <w:i/>
          <w:iCs/>
          <w:sz w:val="22"/>
          <w:szCs w:val="22"/>
          <w:lang w:val="en-US" w:eastAsia="zh-CN"/>
        </w:rPr>
        <w:t xml:space="preserve">Proposal 11: Consider the impact of different D2R Preamble sequence on </w:t>
      </w:r>
      <w:r>
        <w:rPr>
          <w:rFonts w:hint="default" w:ascii="Times New Roman Bold Italic" w:hAnsi="Times New Roman Bold Italic" w:cs="Times New Roman Bold Italic"/>
          <w:b/>
          <w:bCs/>
          <w:i/>
          <w:iCs/>
          <w:lang w:val="en-US" w:eastAsia="zh-CN"/>
        </w:rPr>
        <w:t>reader differentiation or identify device types or CDMA.</w:t>
      </w:r>
    </w:p>
    <w:p w14:paraId="727D8BC7">
      <w:pPr>
        <w:pStyle w:val="17"/>
        <w:numPr>
          <w:ilvl w:val="0"/>
          <w:numId w:val="0"/>
        </w:numPr>
        <w:ind w:leftChars="0"/>
        <w:rPr>
          <w:rFonts w:hint="default" w:ascii="Times New Roman" w:hAnsi="Times New Roman" w:eastAsia="宋体" w:cs="Times New Roman"/>
          <w:b w:val="0"/>
          <w:bCs w:val="0"/>
          <w:sz w:val="22"/>
          <w:szCs w:val="22"/>
          <w:lang w:val="en-US" w:eastAsia="zh-CN"/>
        </w:rPr>
      </w:pPr>
    </w:p>
    <w:p w14:paraId="4F7190FE">
      <w:pPr>
        <w:pStyle w:val="17"/>
        <w:numPr>
          <w:ilvl w:val="0"/>
          <w:numId w:val="0"/>
        </w:numPr>
        <w:ind w:leftChars="0"/>
        <w:outlineLvl w:val="3"/>
        <w:rPr>
          <w:rFonts w:hint="default" w:ascii="Times New Roman" w:hAnsi="Times New Roman" w:eastAsia="宋体" w:cs="Times New Roman"/>
          <w:b w:val="0"/>
          <w:bCs w:val="0"/>
          <w:sz w:val="22"/>
          <w:szCs w:val="22"/>
          <w:lang w:val="en-US" w:eastAsia="zh-CN"/>
        </w:rPr>
      </w:pPr>
      <w:r>
        <w:rPr>
          <w:rFonts w:hint="eastAsia" w:cs="Times New Roman"/>
          <w:b w:val="0"/>
          <w:bCs w:val="0"/>
          <w:sz w:val="22"/>
          <w:szCs w:val="22"/>
          <w:lang w:val="en-US" w:eastAsia="zh-CN"/>
        </w:rPr>
        <w:t>2.6</w:t>
      </w:r>
      <w:bookmarkStart w:id="8" w:name="_GoBack"/>
      <w:bookmarkEnd w:id="8"/>
      <w:r>
        <w:rPr>
          <w:rFonts w:hint="eastAsia" w:cs="Times New Roman"/>
          <w:b w:val="0"/>
          <w:bCs w:val="0"/>
          <w:sz w:val="22"/>
          <w:szCs w:val="22"/>
          <w:lang w:val="en-US" w:eastAsia="zh-CN"/>
        </w:rPr>
        <w:t>.2 D2R Midamble</w:t>
      </w:r>
    </w:p>
    <w:p w14:paraId="6375E99C">
      <w:pPr>
        <w:pStyle w:val="17"/>
        <w:rPr>
          <w:rFonts w:hint="default" w:eastAsia="宋体"/>
          <w:sz w:val="22"/>
          <w:szCs w:val="22"/>
          <w:lang w:val="en-US" w:eastAsia="zh-CN"/>
        </w:rPr>
      </w:pPr>
      <w:r>
        <w:rPr>
          <w:sz w:val="22"/>
          <w:szCs w:val="22"/>
        </w:rPr>
        <w:t xml:space="preserve">Since Device 2b/C transmissions may be longer (with FEC, possibly spanning multiple milliseconds), </w:t>
      </w:r>
      <w:r>
        <w:rPr>
          <w:b w:val="0"/>
          <w:bCs w:val="0"/>
          <w:sz w:val="22"/>
          <w:szCs w:val="22"/>
        </w:rPr>
        <w:t>midambles</w:t>
      </w:r>
      <w:r>
        <w:rPr>
          <w:sz w:val="22"/>
          <w:szCs w:val="22"/>
        </w:rPr>
        <w:t xml:space="preserve"> are inserted periodically to help the reader re-calibrate the channel or frequency offset during the packet. For example, if the device moves or the environment changes mid-packet, the initial channel estimate might become stale. Also, devices might have residual frequency drift; a midamble can allow the reader to correct for drift halfway through.</w:t>
      </w:r>
      <w:r>
        <w:rPr>
          <w:rFonts w:hint="eastAsia"/>
          <w:sz w:val="22"/>
          <w:szCs w:val="22"/>
          <w:lang w:val="en-US" w:eastAsia="zh-CN"/>
        </w:rPr>
        <w:t xml:space="preserve"> Also, we think D2R Midamble could also be used for the indicating of end of D2R transmission.</w:t>
      </w:r>
    </w:p>
    <w:p w14:paraId="1024C043">
      <w:pPr>
        <w:rPr>
          <w:b/>
          <w:bCs/>
          <w:lang w:eastAsia="zh-CN"/>
        </w:rPr>
      </w:pPr>
    </w:p>
    <w:p w14:paraId="3A6EC0CE">
      <w:r>
        <w:t xml:space="preserve">If D2R uses, say, DBPSK with non-coherent detection, a midamble might not be needed for phase reference (since differential doesn’t need absolute phase) but could still help with timing drift or SNR estimation. If using coherent BPSK/MSK, midamble is important for channel estimation refresh. </w:t>
      </w:r>
    </w:p>
    <w:p w14:paraId="6A04784E">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w:t>
      </w:r>
      <w:r>
        <w:rPr>
          <w:rFonts w:hint="eastAsia" w:ascii="Times New Roman Bold Italic" w:hAnsi="Times New Roman Bold Italic" w:cs="Times New Roman Bold Italic"/>
          <w:b/>
          <w:bCs/>
          <w:i/>
          <w:iCs/>
          <w:lang w:val="en-US" w:eastAsia="zh-CN"/>
        </w:rPr>
        <w:t>1</w:t>
      </w:r>
      <w:r>
        <w:rPr>
          <w:rFonts w:hint="default" w:ascii="Times New Roman Bold Italic" w:hAnsi="Times New Roman Bold Italic" w:cs="Times New Roman Bold Italic"/>
          <w:b/>
          <w:bCs/>
          <w:i/>
          <w:iCs/>
          <w:lang w:val="en-US" w:eastAsia="zh-CN"/>
        </w:rPr>
        <w:t>: D2R M</w:t>
      </w:r>
      <w:r>
        <w:rPr>
          <w:rFonts w:hint="default" w:ascii="Times New Roman Bold Italic" w:hAnsi="Times New Roman Bold Italic" w:cs="Times New Roman Bold Italic"/>
          <w:b/>
          <w:bCs/>
          <w:i/>
          <w:iCs/>
        </w:rPr>
        <w:t>idamble might not be needed for phase reference but could still help with timing drift or SNR estimation</w:t>
      </w:r>
      <w:r>
        <w:rPr>
          <w:rFonts w:hint="default" w:ascii="Times New Roman Bold Italic" w:hAnsi="Times New Roman Bold Italic" w:cs="Times New Roman Bold Italic"/>
          <w:b/>
          <w:bCs/>
          <w:i/>
          <w:iCs/>
          <w:lang w:val="en-US" w:eastAsia="zh-CN"/>
        </w:rPr>
        <w:t xml:space="preserve"> if </w:t>
      </w:r>
      <w:r>
        <w:rPr>
          <w:rFonts w:hint="default" w:ascii="Times New Roman Bold Italic" w:hAnsi="Times New Roman Bold Italic" w:cs="Times New Roman Bold Italic"/>
          <w:b/>
          <w:bCs/>
          <w:i/>
          <w:iCs/>
        </w:rPr>
        <w:t>DBPSK with non-coherent detection</w:t>
      </w:r>
      <w:r>
        <w:rPr>
          <w:rFonts w:hint="default" w:ascii="Times New Roman Bold Italic" w:hAnsi="Times New Roman Bold Italic" w:cs="Times New Roman Bold Italic"/>
          <w:b/>
          <w:bCs/>
          <w:i/>
          <w:iCs/>
          <w:lang w:val="en-US" w:eastAsia="zh-CN"/>
        </w:rPr>
        <w:t xml:space="preserve"> considered.</w:t>
      </w:r>
    </w:p>
    <w:p w14:paraId="3B5D15F8">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 Proposal 1</w:t>
      </w:r>
      <w:r>
        <w:rPr>
          <w:rFonts w:hint="eastAsia" w:ascii="Times New Roman Bold Italic" w:hAnsi="Times New Roman Bold Italic" w:cs="Times New Roman Bold Italic"/>
          <w:b/>
          <w:bCs/>
          <w:i/>
          <w:iCs/>
          <w:lang w:val="en-US" w:eastAsia="zh-CN"/>
        </w:rPr>
        <w:t>2</w:t>
      </w:r>
      <w:r>
        <w:rPr>
          <w:rFonts w:hint="default" w:ascii="Times New Roman Bold Italic" w:hAnsi="Times New Roman Bold Italic" w:cs="Times New Roman Bold Italic"/>
          <w:b/>
          <w:bCs/>
          <w:i/>
          <w:iCs/>
          <w:lang w:val="en-US" w:eastAsia="zh-CN"/>
        </w:rPr>
        <w:t>: Consider same functions of D2R Midamble like Rel-19 and study the impact of modulation on D2R Midamble, e.g., MSK or DBPSK.</w:t>
      </w:r>
    </w:p>
    <w:p w14:paraId="4794DFA9">
      <w:pPr>
        <w:rPr>
          <w:b/>
          <w:bCs/>
          <w:lang w:eastAsia="zh-CN"/>
        </w:rPr>
      </w:pPr>
    </w:p>
    <w:p w14:paraId="5B6E4EA9">
      <w:pPr>
        <w:pStyle w:val="2"/>
      </w:pPr>
      <w:r>
        <w:t>Conclusion</w:t>
      </w:r>
    </w:p>
    <w:p w14:paraId="31CC99A3">
      <w:pPr>
        <w:rPr>
          <w:lang w:eastAsia="zh-CN"/>
        </w:rPr>
      </w:pPr>
      <w:r>
        <w:t xml:space="preserve">In this contribution, we discuss </w:t>
      </w:r>
      <w:r>
        <w:rPr>
          <w:rFonts w:hint="eastAsia"/>
          <w:lang w:eastAsia="zh-CN"/>
        </w:rPr>
        <w:t>potential solutions for Device 2b/C</w:t>
      </w:r>
      <w:r>
        <w:rPr>
          <w:lang w:eastAsia="zh-CN"/>
        </w:rPr>
        <w:t xml:space="preserve"> for outdoor scenarios</w:t>
      </w:r>
      <w:r>
        <w:rPr>
          <w:rFonts w:hint="eastAsia"/>
          <w:lang w:eastAsia="zh-CN"/>
        </w:rPr>
        <w:t xml:space="preserve">. </w:t>
      </w:r>
      <w:r>
        <w:rPr>
          <w:lang w:eastAsia="zh-CN"/>
        </w:rPr>
        <w:t>I</w:t>
      </w:r>
      <w:r>
        <w:rPr>
          <w:rFonts w:hint="eastAsia"/>
          <w:lang w:eastAsia="zh-CN"/>
        </w:rPr>
        <w:t xml:space="preserve">t is observed that </w:t>
      </w:r>
    </w:p>
    <w:p w14:paraId="3A0567E7">
      <w:pPr>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val="en-US" w:eastAsia="zh-CN"/>
        </w:rPr>
        <w:t xml:space="preserve">Observation 1: </w:t>
      </w:r>
      <w:r>
        <w:rPr>
          <w:rFonts w:hint="default" w:ascii="Times New Roman Bold Italic" w:hAnsi="Times New Roman Bold Italic" w:cs="Times New Roman Bold Italic"/>
          <w:b/>
          <w:bCs/>
          <w:i/>
          <w:iCs/>
        </w:rPr>
        <w:t xml:space="preserve">In light of the above analysis, OOK and BPSK (with 1SB) emerge as strong candidates for baseline modulation in Rel-20 for Device 2b/C. </w:t>
      </w:r>
    </w:p>
    <w:p w14:paraId="287947D2">
      <w:pPr>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val="en-US" w:eastAsia="zh-CN"/>
        </w:rPr>
        <w:t xml:space="preserve">-- </w:t>
      </w:r>
      <w:r>
        <w:rPr>
          <w:rFonts w:hint="default" w:ascii="Times New Roman Bold Italic" w:hAnsi="Times New Roman Bold Italic" w:cs="Times New Roman Bold Italic"/>
          <w:b/>
          <w:bCs/>
          <w:i/>
          <w:iCs/>
        </w:rPr>
        <w:t xml:space="preserve">BPSK offers better reliability under sufficient SNR and proper synchronization, whereas OOK offers simplicity and might be slightly advantageous in extreme low-SNR edge cases or for non-coherent operation. </w:t>
      </w:r>
    </w:p>
    <w:p w14:paraId="7C71EAB7">
      <w:pPr>
        <w:rPr>
          <w:iCs/>
          <w:lang w:eastAsia="zh-CN"/>
        </w:rPr>
      </w:pPr>
    </w:p>
    <w:p w14:paraId="666DC3EA">
      <w:pPr>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val="en-US" w:eastAsia="zh-CN"/>
        </w:rPr>
        <w:t xml:space="preserve">Observation 2: </w:t>
      </w:r>
      <w:r>
        <w:rPr>
          <w:rFonts w:hint="default" w:ascii="Times New Roman Bold Italic" w:hAnsi="Times New Roman Bold Italic" w:cs="Times New Roman Bold Italic"/>
          <w:b/>
          <w:bCs/>
          <w:i/>
          <w:iCs/>
        </w:rPr>
        <w:t>DBPSK could be useful if we wish to avoid requiring phase tracking at the reader (maybe in scenarios where the reader is limited or to provide a fallback under high CFO conditions). It provides improved resilience to phase ambiguities and potentially to fast channel variations, at the cost of ~3 dB performance loss.</w:t>
      </w:r>
    </w:p>
    <w:p w14:paraId="7447989E">
      <w:pPr>
        <w:rPr>
          <w:iCs/>
          <w:lang w:eastAsia="zh-CN"/>
        </w:rPr>
      </w:pPr>
    </w:p>
    <w:p w14:paraId="088B7A27">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Observation 3: If CFO calibration techniques (discussed later) are effective, MSK could be a viable option. It would allow narrow bandwidth operation and potentially higher data rate in the same bandwidth compared to OOK</w:t>
      </w:r>
    </w:p>
    <w:p w14:paraId="03401941">
      <w:pPr>
        <w:rPr>
          <w:iCs/>
          <w:lang w:eastAsia="zh-CN"/>
        </w:rPr>
      </w:pPr>
    </w:p>
    <w:p w14:paraId="5F95AC56">
      <w:pPr>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w:t>
      </w:r>
      <w:r>
        <w:rPr>
          <w:rFonts w:hint="default" w:ascii="Times New Roman Bold Italic" w:hAnsi="Times New Roman Bold Italic" w:cs="Times New Roman Bold Italic"/>
          <w:b/>
          <w:bCs/>
          <w:i/>
          <w:iCs/>
          <w:lang w:eastAsia="zh-CN"/>
        </w:rPr>
        <w:t>:</w:t>
      </w:r>
      <w:r>
        <w:rPr>
          <w:rFonts w:hint="default" w:ascii="Times New Roman Bold Italic" w:hAnsi="Times New Roman Bold Italic" w:cs="Times New Roman Bold Italic"/>
          <w:b/>
          <w:bCs/>
          <w:i/>
          <w:iCs/>
          <w:szCs w:val="20"/>
          <w:lang w:eastAsia="ko-KR"/>
        </w:rPr>
        <w:t xml:space="preserve"> </w:t>
      </w:r>
      <w:r>
        <w:rPr>
          <w:rFonts w:hint="eastAsia" w:ascii="Times New Roman Bold Italic" w:hAnsi="Times New Roman Bold Italic" w:cs="Times New Roman Bold Italic"/>
          <w:b/>
          <w:bCs/>
          <w:i/>
          <w:iCs/>
          <w:szCs w:val="20"/>
          <w:lang w:val="en-US" w:eastAsia="zh-CN"/>
        </w:rPr>
        <w:t>T</w:t>
      </w:r>
      <w:r>
        <w:rPr>
          <w:rFonts w:hint="default" w:ascii="Times New Roman Bold Italic" w:hAnsi="Times New Roman Bold Italic" w:cs="Times New Roman Bold Italic"/>
          <w:b/>
          <w:bCs/>
          <w:i/>
          <w:iCs/>
        </w:rPr>
        <w:t>he necessity of a scrambling mechanism for Device 2b/C depends on whether multiple readers can operate concurrently in the same frequency; if so, scrambling should be employed to randomize inter-cell interference.</w:t>
      </w:r>
    </w:p>
    <w:p w14:paraId="0A6723EE">
      <w:pPr>
        <w:rPr>
          <w:iCs/>
          <w:lang w:eastAsia="zh-CN"/>
        </w:rPr>
      </w:pPr>
    </w:p>
    <w:p w14:paraId="22D1E75D">
      <w:pPr>
        <w:rPr>
          <w:rFonts w:hint="default" w:ascii="Times New Roman Bold Italic" w:hAnsi="Times New Roman Bold Italic" w:cs="Times New Roman Bold Italic"/>
          <w:b/>
          <w:bCs/>
          <w:i/>
          <w:iCs/>
        </w:rPr>
      </w:pPr>
      <w:r>
        <w:rPr>
          <w:rFonts w:hint="eastAsia" w:ascii="Times New Roman Bold Italic" w:hAnsi="Times New Roman Bold Italic" w:cs="Times New Roman Bold Italic"/>
          <w:b/>
          <w:bCs/>
          <w:i/>
          <w:iCs/>
          <w:szCs w:val="20"/>
          <w:lang w:val="en-US" w:eastAsia="zh-CN"/>
        </w:rPr>
        <w:t xml:space="preserve">Observation 5: </w:t>
      </w:r>
      <w:r>
        <w:rPr>
          <w:rFonts w:hint="default" w:ascii="Times New Roman Bold Italic" w:hAnsi="Times New Roman Bold Italic" w:cs="Times New Roman Bold Italic"/>
          <w:b/>
          <w:bCs/>
          <w:i/>
          <w:iCs/>
        </w:rPr>
        <w:t>If repetition is done at the block (packet) level after full encoding and scrambling, it’s straightforward: just send the entire encoded packet multiple times. If done at the bit level inside the code, that effectively lowers the code rate as discussed.</w:t>
      </w:r>
    </w:p>
    <w:p w14:paraId="0F950E92">
      <w:pPr>
        <w:rPr>
          <w:rFonts w:hint="default" w:ascii="Times New Roman Bold Italic" w:hAnsi="Times New Roman Bold Italic" w:cs="Times New Roman Bold Italic"/>
          <w:b/>
          <w:bCs/>
          <w:i/>
          <w:iCs/>
          <w:lang w:val="en-US" w:eastAsia="zh-CN"/>
        </w:rPr>
      </w:pPr>
    </w:p>
    <w:p w14:paraId="1960AD31">
      <w:pPr>
        <w:pStyle w:val="17"/>
        <w:rPr>
          <w:rFonts w:hint="default" w:ascii="Times New Roman Bold Italic" w:hAnsi="Times New Roman Bold Italic" w:eastAsia="宋体" w:cs="Times New Roman Bold Italic"/>
          <w:b/>
          <w:bCs/>
          <w:i/>
          <w:iCs/>
          <w:sz w:val="22"/>
          <w:szCs w:val="22"/>
        </w:rPr>
      </w:pPr>
      <w:r>
        <w:rPr>
          <w:rFonts w:hint="default" w:ascii="Times New Roman Bold Italic" w:hAnsi="Times New Roman Bold Italic" w:eastAsia="宋体" w:cs="Times New Roman Bold Italic"/>
          <w:b/>
          <w:bCs/>
          <w:i/>
          <w:iCs/>
          <w:sz w:val="22"/>
          <w:szCs w:val="22"/>
          <w:lang w:val="en-US" w:eastAsia="zh-CN"/>
        </w:rPr>
        <w:t xml:space="preserve">Observation 6: </w:t>
      </w:r>
      <w:r>
        <w:rPr>
          <w:rFonts w:hint="default" w:ascii="Times New Roman Bold Italic" w:hAnsi="Times New Roman Bold Italic" w:eastAsia="宋体" w:cs="Times New Roman Bold Italic"/>
          <w:b/>
          <w:bCs/>
          <w:i/>
          <w:iCs/>
          <w:sz w:val="22"/>
          <w:szCs w:val="22"/>
        </w:rPr>
        <w:t>For scheduled D2R data (non-RA uplink), FDM would allow multiple devices to transmit simultaneously on different subbands, increasing throughput.</w:t>
      </w:r>
    </w:p>
    <w:p w14:paraId="5C788D47">
      <w:pPr>
        <w:pStyle w:val="17"/>
        <w:rPr>
          <w:rFonts w:hint="default" w:ascii="Times New Roman Bold Italic" w:hAnsi="Times New Roman Bold Italic" w:eastAsia="宋体" w:cs="Times New Roman Bold Italic"/>
          <w:b/>
          <w:bCs/>
          <w:i/>
          <w:iCs/>
          <w:sz w:val="22"/>
          <w:szCs w:val="22"/>
        </w:rPr>
      </w:pPr>
    </w:p>
    <w:p w14:paraId="2021399A">
      <w:pPr>
        <w:pStyle w:val="17"/>
        <w:rPr>
          <w:rFonts w:hint="default" w:ascii="Times New Roman Bold Italic" w:hAnsi="Times New Roman Bold Italic" w:eastAsia="宋体" w:cs="Times New Roman Bold Italic"/>
          <w:b/>
          <w:bCs/>
          <w:i/>
          <w:iCs/>
          <w:sz w:val="22"/>
          <w:szCs w:val="22"/>
        </w:rPr>
      </w:pPr>
      <w:r>
        <w:rPr>
          <w:rFonts w:hint="default" w:ascii="Times New Roman Bold Italic" w:hAnsi="Times New Roman Bold Italic" w:eastAsia="宋体" w:cs="Times New Roman Bold Italic"/>
          <w:b/>
          <w:bCs/>
          <w:i/>
          <w:iCs/>
          <w:sz w:val="22"/>
          <w:szCs w:val="22"/>
          <w:lang w:val="en-US" w:eastAsia="zh-CN"/>
        </w:rPr>
        <w:t xml:space="preserve">Observation 7: What reader handles multi-devices reception with FDM scheme needs special receivers </w:t>
      </w:r>
      <w:r>
        <w:rPr>
          <w:rFonts w:hint="default" w:ascii="Times New Roman Bold Italic" w:hAnsi="Times New Roman Bold Italic" w:eastAsia="宋体" w:cs="Times New Roman Bold Italic"/>
          <w:b/>
          <w:bCs/>
          <w:i/>
          <w:iCs/>
          <w:sz w:val="22"/>
          <w:szCs w:val="22"/>
        </w:rPr>
        <w:t xml:space="preserve">like an OFDM receiver that can demodulate separate narrowband channels. </w:t>
      </w:r>
    </w:p>
    <w:p w14:paraId="606821B6">
      <w:pPr>
        <w:pStyle w:val="48"/>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Bold Italic" w:hAnsi="Times New Roman Bold Italic" w:cs="Times New Roman Bold Italic"/>
          <w:b/>
          <w:bCs/>
          <w:i/>
          <w:iCs/>
          <w:kern w:val="0"/>
          <w:sz w:val="20"/>
          <w:szCs w:val="24"/>
          <w:lang w:val="en-US" w:eastAsia="zh-CN" w:bidi="ar-SA"/>
        </w:rPr>
      </w:pPr>
    </w:p>
    <w:p w14:paraId="17A7BFC6">
      <w:pPr>
        <w:pStyle w:val="17"/>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8: Longer Preambles and a sequence with good autocorrlation (e.g., </w:t>
      </w:r>
      <w:r>
        <w:rPr>
          <w:rFonts w:hint="default" w:ascii="Times New Roman Bold Italic" w:hAnsi="Times New Roman Bold Italic" w:cs="Times New Roman Bold Italic"/>
          <w:b/>
          <w:bCs/>
          <w:i/>
          <w:iCs/>
          <w:sz w:val="22"/>
          <w:szCs w:val="22"/>
        </w:rPr>
        <w:t>sharp peak, low sidelobes</w:t>
      </w:r>
      <w:r>
        <w:rPr>
          <w:rFonts w:hint="default" w:ascii="Times New Roman Bold Italic" w:hAnsi="Times New Roman Bold Italic" w:cs="Times New Roman Bold Italic"/>
          <w:b/>
          <w:bCs/>
          <w:i/>
          <w:iCs/>
          <w:sz w:val="22"/>
          <w:szCs w:val="22"/>
          <w:lang w:val="en-US" w:eastAsia="zh-CN"/>
        </w:rPr>
        <w:t>) can bring better performances for D2R Preamble that Rel-19.</w:t>
      </w:r>
    </w:p>
    <w:p w14:paraId="513332C2">
      <w:pPr>
        <w:pStyle w:val="17"/>
        <w:rPr>
          <w:rFonts w:hint="default" w:ascii="Times New Roman Bold Italic" w:hAnsi="Times New Roman Bold Italic" w:cs="Times New Roman Bold Italic"/>
          <w:b/>
          <w:bCs/>
          <w:i/>
          <w:iCs/>
          <w:sz w:val="22"/>
          <w:szCs w:val="22"/>
          <w:lang w:val="en-US" w:eastAsia="zh-CN"/>
        </w:rPr>
      </w:pPr>
    </w:p>
    <w:p w14:paraId="6D8A33CA">
      <w:pPr>
        <w:pStyle w:val="17"/>
        <w:numPr>
          <w:ilvl w:val="0"/>
          <w:numId w:val="0"/>
        </w:numPr>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9: </w:t>
      </w:r>
      <w:r>
        <w:rPr>
          <w:rFonts w:hint="default" w:ascii="Times New Roman Bold Italic" w:hAnsi="Times New Roman Bold Italic" w:cs="Times New Roman Bold Italic"/>
          <w:b/>
          <w:bCs/>
          <w:i/>
          <w:iCs/>
          <w:sz w:val="22"/>
          <w:szCs w:val="22"/>
        </w:rPr>
        <w:t>If non-coherent (like OOK or DBPSK), the</w:t>
      </w:r>
      <w:r>
        <w:rPr>
          <w:rFonts w:hint="default" w:ascii="Times New Roman Bold Italic" w:hAnsi="Times New Roman Bold Italic" w:cs="Times New Roman Bold Italic"/>
          <w:b/>
          <w:bCs/>
          <w:i/>
          <w:iCs/>
          <w:sz w:val="22"/>
          <w:szCs w:val="22"/>
          <w:lang w:val="en-US" w:eastAsia="zh-CN"/>
        </w:rPr>
        <w:t xml:space="preserve"> D2R</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eastAsia="zh-CN"/>
        </w:rPr>
        <w:t>P</w:t>
      </w:r>
      <w:r>
        <w:rPr>
          <w:rFonts w:hint="default" w:ascii="Times New Roman Bold Italic" w:hAnsi="Times New Roman Bold Italic" w:cs="Times New Roman Bold Italic"/>
          <w:b/>
          <w:bCs/>
          <w:i/>
          <w:iCs/>
          <w:sz w:val="22"/>
          <w:szCs w:val="22"/>
        </w:rPr>
        <w:t>reamble might be used more for timing and energy detection and less for phase. Additionally, if MSK or other more complex modulation is used, preamble might need to be optimized accordingly</w:t>
      </w:r>
      <w:r>
        <w:rPr>
          <w:rFonts w:hint="default" w:ascii="Times New Roman Bold Italic" w:hAnsi="Times New Roman Bold Italic" w:cs="Times New Roman Bold Italic"/>
          <w:b/>
          <w:bCs/>
          <w:i/>
          <w:iCs/>
          <w:sz w:val="22"/>
          <w:szCs w:val="22"/>
          <w:lang w:val="en-US" w:eastAsia="zh-CN"/>
        </w:rPr>
        <w:t>.</w:t>
      </w:r>
    </w:p>
    <w:p w14:paraId="59C50F38">
      <w:pPr>
        <w:pStyle w:val="17"/>
        <w:rPr>
          <w:rFonts w:hint="default" w:ascii="Times New Roman Bold Italic" w:hAnsi="Times New Roman Bold Italic" w:cs="Times New Roman Bold Italic"/>
          <w:b/>
          <w:bCs/>
          <w:i/>
          <w:iCs/>
          <w:sz w:val="22"/>
          <w:szCs w:val="22"/>
          <w:lang w:val="en-US" w:eastAsia="zh-CN"/>
        </w:rPr>
      </w:pPr>
    </w:p>
    <w:p w14:paraId="5E1E009B">
      <w:pPr>
        <w:pStyle w:val="17"/>
        <w:numPr>
          <w:ilvl w:val="0"/>
          <w:numId w:val="0"/>
        </w:numPr>
        <w:ind w:left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Observation 10: For multiple sequence for D2R Preamble, it could be used for reader differentiation or identify device types or CDMA.</w:t>
      </w:r>
    </w:p>
    <w:p w14:paraId="49A3E4D5">
      <w:pPr>
        <w:pStyle w:val="17"/>
        <w:numPr>
          <w:ilvl w:val="0"/>
          <w:numId w:val="0"/>
        </w:numPr>
        <w:ind w:leftChars="0"/>
        <w:rPr>
          <w:rFonts w:hint="default" w:ascii="Times New Roman Bold Italic" w:hAnsi="Times New Roman Bold Italic" w:cs="Times New Roman Bold Italic"/>
          <w:b/>
          <w:bCs/>
          <w:i/>
          <w:iCs/>
          <w:sz w:val="22"/>
          <w:szCs w:val="22"/>
          <w:lang w:val="en-US" w:eastAsia="zh-CN"/>
        </w:rPr>
      </w:pPr>
    </w:p>
    <w:p w14:paraId="60324678">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11: D2R M</w:t>
      </w:r>
      <w:r>
        <w:rPr>
          <w:rFonts w:hint="default" w:ascii="Times New Roman Bold Italic" w:hAnsi="Times New Roman Bold Italic" w:cs="Times New Roman Bold Italic"/>
          <w:b/>
          <w:bCs/>
          <w:i/>
          <w:iCs/>
        </w:rPr>
        <w:t>idamble might not be needed for phase reference but could still help with timing drift or SNR estimation</w:t>
      </w:r>
      <w:r>
        <w:rPr>
          <w:rFonts w:hint="default" w:ascii="Times New Roman Bold Italic" w:hAnsi="Times New Roman Bold Italic" w:cs="Times New Roman Bold Italic"/>
          <w:b/>
          <w:bCs/>
          <w:i/>
          <w:iCs/>
          <w:lang w:val="en-US" w:eastAsia="zh-CN"/>
        </w:rPr>
        <w:t xml:space="preserve"> if </w:t>
      </w:r>
      <w:r>
        <w:rPr>
          <w:rFonts w:hint="default" w:ascii="Times New Roman Bold Italic" w:hAnsi="Times New Roman Bold Italic" w:cs="Times New Roman Bold Italic"/>
          <w:b/>
          <w:bCs/>
          <w:i/>
          <w:iCs/>
        </w:rPr>
        <w:t>DBPSK with non-coherent detection</w:t>
      </w:r>
      <w:r>
        <w:rPr>
          <w:rFonts w:hint="default" w:ascii="Times New Roman Bold Italic" w:hAnsi="Times New Roman Bold Italic" w:cs="Times New Roman Bold Italic"/>
          <w:b/>
          <w:bCs/>
          <w:i/>
          <w:iCs/>
          <w:lang w:val="en-US" w:eastAsia="zh-CN"/>
        </w:rPr>
        <w:t xml:space="preserve"> considered.</w:t>
      </w:r>
    </w:p>
    <w:p w14:paraId="1D21DF88">
      <w:pPr>
        <w:pStyle w:val="17"/>
        <w:rPr>
          <w:rFonts w:hint="default" w:ascii="Times New Roman Bold Italic" w:hAnsi="Times New Roman Bold Italic" w:cs="Times New Roman Bold Italic"/>
          <w:b/>
          <w:bCs/>
          <w:i/>
          <w:iCs/>
          <w:sz w:val="22"/>
          <w:szCs w:val="22"/>
          <w:lang w:val="en-US" w:eastAsia="zh-CN"/>
        </w:rPr>
      </w:pPr>
    </w:p>
    <w:p w14:paraId="524949F5">
      <w:pPr>
        <w:rPr>
          <w:iCs/>
          <w:lang w:eastAsia="zh-CN"/>
        </w:rPr>
      </w:pPr>
    </w:p>
    <w:p w14:paraId="70FC7156">
      <w:pPr>
        <w:rPr>
          <w:rFonts w:hint="eastAsia"/>
          <w:b/>
          <w:bCs/>
          <w:i/>
          <w:iCs/>
          <w:lang w:val="en-US" w:eastAsia="zh-CN"/>
        </w:rPr>
      </w:pPr>
      <w:r>
        <w:rPr>
          <w:rFonts w:hint="eastAsia"/>
          <w:b/>
          <w:bCs/>
          <w:i/>
          <w:iCs/>
          <w:lang w:eastAsia="zh-CN"/>
        </w:rPr>
        <w:t xml:space="preserve">Proposal </w:t>
      </w:r>
      <w:r>
        <w:rPr>
          <w:b/>
          <w:bCs/>
          <w:i/>
          <w:iCs/>
          <w:lang w:eastAsia="zh-CN"/>
        </w:rPr>
        <w:t>1</w:t>
      </w:r>
      <w:r>
        <w:rPr>
          <w:rFonts w:hint="eastAsia"/>
          <w:b/>
          <w:bCs/>
          <w:i/>
          <w:iCs/>
          <w:lang w:eastAsia="zh-CN"/>
        </w:rPr>
        <w:t>:</w:t>
      </w:r>
      <w:r>
        <w:rPr>
          <w:b/>
          <w:bCs/>
          <w:i/>
          <w:iCs/>
          <w:lang w:eastAsia="zh-CN"/>
        </w:rPr>
        <w:t xml:space="preserve"> At least </w:t>
      </w:r>
      <w:r>
        <w:rPr>
          <w:b/>
          <w:bCs/>
          <w:i/>
          <w:iCs/>
          <w:lang w:eastAsia="ko-KR"/>
        </w:rPr>
        <w:t xml:space="preserve">1SB BPSK can be considered for D2R transmission for </w:t>
      </w:r>
      <w:r>
        <w:rPr>
          <w:b/>
          <w:bCs/>
          <w:i/>
          <w:iCs/>
          <w:lang w:eastAsia="zh-CN"/>
        </w:rPr>
        <w:t>device 2b/C.</w:t>
      </w:r>
      <w:r>
        <w:rPr>
          <w:rFonts w:hint="eastAsia"/>
          <w:b/>
          <w:bCs/>
          <w:i/>
          <w:iCs/>
          <w:lang w:val="en-US" w:eastAsia="zh-CN"/>
        </w:rPr>
        <w:t xml:space="preserve"> </w:t>
      </w:r>
    </w:p>
    <w:p w14:paraId="2EDC4464">
      <w:pPr>
        <w:rPr>
          <w:rFonts w:hint="default" w:ascii="Times New Roman Bold Italic" w:hAnsi="Times New Roman Bold Italic" w:cs="Times New Roman Bold Italic"/>
          <w:b/>
          <w:bCs/>
          <w:i/>
          <w:iCs/>
          <w:lang w:val="en-US" w:eastAsia="zh-CN"/>
        </w:rPr>
      </w:pPr>
      <w:r>
        <w:rPr>
          <w:rFonts w:hint="eastAsia"/>
          <w:b/>
          <w:bCs/>
          <w:i/>
          <w:iCs/>
          <w:lang w:val="en-US" w:eastAsia="zh-CN"/>
        </w:rPr>
        <w:t>Proposal 2: Support 1SB</w:t>
      </w:r>
      <w:r>
        <w:rPr>
          <w:rFonts w:hint="default" w:ascii="Times New Roman Bold Italic" w:hAnsi="Times New Roman Bold Italic" w:cs="Times New Roman Bold Italic"/>
          <w:b/>
          <w:bCs/>
          <w:i/>
          <w:iCs/>
          <w:lang w:val="en-US" w:eastAsia="zh-CN"/>
        </w:rPr>
        <w:t xml:space="preserve"> </w:t>
      </w:r>
      <w:r>
        <w:rPr>
          <w:rFonts w:hint="default" w:ascii="Times New Roman Bold" w:hAnsi="Times New Roman Bold" w:cs="Times New Roman Bold"/>
          <w:b/>
          <w:bCs/>
          <w:i/>
          <w:iCs/>
        </w:rPr>
        <w:t>DBPSK</w:t>
      </w:r>
      <w:r>
        <w:rPr>
          <w:rFonts w:hint="default" w:ascii="Times New Roman Bold Italic" w:hAnsi="Times New Roman Bold Italic" w:cs="Times New Roman Bold Italic"/>
          <w:b/>
          <w:bCs/>
          <w:i/>
          <w:iCs/>
        </w:rPr>
        <w:t xml:space="preserve"> </w:t>
      </w:r>
      <w:r>
        <w:rPr>
          <w:rFonts w:hint="default" w:ascii="Times New Roman Bold" w:hAnsi="Times New Roman Bold" w:cs="Times New Roman Bold"/>
          <w:b/>
          <w:bCs/>
          <w:i/>
          <w:iCs/>
        </w:rPr>
        <w:t xml:space="preserve"> if we wish to avoid requiring phase tracking at the reader</w:t>
      </w:r>
      <w:r>
        <w:rPr>
          <w:rFonts w:hint="default" w:ascii="Times New Roman Bold Italic" w:hAnsi="Times New Roman Bold Italic" w:cs="Times New Roman Bold Italic"/>
          <w:b/>
          <w:bCs/>
          <w:i/>
          <w:iCs/>
          <w:lang w:val="en-US" w:eastAsia="zh-CN"/>
        </w:rPr>
        <w:t>.</w:t>
      </w:r>
      <w:r>
        <w:rPr>
          <w:rFonts w:hint="default" w:ascii="Times New Roman Bold Italic" w:hAnsi="Times New Roman Bold Italic" w:cs="Times New Roman Bold Italic"/>
          <w:b/>
          <w:bCs/>
          <w:i/>
          <w:iCs/>
        </w:rPr>
        <w:t xml:space="preserve"> </w:t>
      </w:r>
    </w:p>
    <w:p w14:paraId="5EF40F35">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3</w:t>
      </w:r>
      <w:r>
        <w:rPr>
          <w:rFonts w:hint="default" w:ascii="Times New Roman Bold Italic" w:hAnsi="Times New Roman Bold Italic" w:cs="Times New Roman Bold Italic"/>
          <w:b/>
          <w:bCs/>
          <w:i/>
          <w:iCs/>
          <w:lang w:eastAsia="zh-CN"/>
        </w:rPr>
        <w:t>: FEC with lower coding rate</w:t>
      </w:r>
      <w:r>
        <w:rPr>
          <w:rFonts w:hint="default" w:ascii="Times New Roman Bold Italic" w:hAnsi="Times New Roman Bold Italic" w:cs="Times New Roman Bold Italic"/>
          <w:b/>
          <w:bCs/>
          <w:i/>
          <w:iCs/>
          <w:lang w:eastAsia="ko-KR"/>
        </w:rPr>
        <w:t xml:space="preserve"> can be considered for D2R transmission for </w:t>
      </w:r>
      <w:r>
        <w:rPr>
          <w:rFonts w:hint="default" w:ascii="Times New Roman Bold Italic" w:hAnsi="Times New Roman Bold Italic" w:cs="Times New Roman Bold Italic"/>
          <w:b/>
          <w:bCs/>
          <w:i/>
          <w:iCs/>
          <w:lang w:eastAsia="zh-CN"/>
        </w:rPr>
        <w:t>device 2b/C.</w:t>
      </w:r>
    </w:p>
    <w:p w14:paraId="03D07C05">
      <w:pPr>
        <w:pStyle w:val="48"/>
        <w:numPr>
          <w:ilvl w:val="0"/>
          <w:numId w:val="0"/>
        </w:numPr>
        <w:spacing w:after="0"/>
        <w:rPr>
          <w:rFonts w:hint="default" w:ascii="Times New Roman Bold Italic" w:hAnsi="Times New Roman Bold Italic" w:eastAsia="宋体" w:cs="Times New Roman Bold Italic"/>
          <w:b/>
          <w:bCs/>
          <w:i/>
          <w:iCs/>
          <w:sz w:val="22"/>
          <w:szCs w:val="22"/>
          <w:lang w:val="en-US" w:eastAsia="zh-CN" w:bidi="ar-SA"/>
        </w:rPr>
      </w:pPr>
      <w:r>
        <w:rPr>
          <w:rFonts w:hint="default" w:ascii="Times New Roman Bold Italic" w:hAnsi="Times New Roman Bold Italic" w:eastAsia="宋体" w:cs="Times New Roman Bold Italic"/>
          <w:b/>
          <w:bCs/>
          <w:i/>
          <w:iCs/>
          <w:sz w:val="22"/>
          <w:szCs w:val="22"/>
          <w:lang w:val="en-US" w:eastAsia="zh-CN" w:bidi="ar-SA"/>
        </w:rPr>
        <w:t xml:space="preserve">Proposal 4: Support </w:t>
      </w:r>
      <w:r>
        <w:rPr>
          <w:rFonts w:hint="default" w:ascii="Times New Roman Bold Italic" w:hAnsi="Times New Roman Bold Italic" w:eastAsia="宋体" w:cs="Times New Roman Bold Italic"/>
          <w:b/>
          <w:bCs/>
          <w:i/>
          <w:iCs/>
          <w:sz w:val="22"/>
          <w:szCs w:val="22"/>
          <w:lang w:val="en-US" w:eastAsia="ko-KR" w:bidi="ar-SA"/>
        </w:rPr>
        <w:t>Alt 1: reuse both LTE sub-block interleaver and LTE bit collection scheme</w:t>
      </w:r>
      <w:r>
        <w:rPr>
          <w:rFonts w:hint="default" w:ascii="Times New Roman Bold Italic" w:hAnsi="Times New Roman Bold Italic" w:eastAsia="宋体" w:cs="Times New Roman Bold Italic"/>
          <w:b/>
          <w:bCs/>
          <w:i/>
          <w:iCs/>
          <w:sz w:val="22"/>
          <w:szCs w:val="22"/>
          <w:lang w:val="en-US" w:eastAsia="zh-CN" w:bidi="ar-SA"/>
        </w:rPr>
        <w:t>.</w:t>
      </w:r>
    </w:p>
    <w:p w14:paraId="2CB5DF87">
      <w:pPr>
        <w:pStyle w:val="48"/>
        <w:numPr>
          <w:ilvl w:val="0"/>
          <w:numId w:val="0"/>
        </w:numPr>
        <w:spacing w:after="0"/>
        <w:rPr>
          <w:rFonts w:hint="default" w:ascii="Times New Roman Bold Italic" w:hAnsi="Times New Roman Bold Italic" w:eastAsia="宋体" w:cs="Times New Roman Bold Italic"/>
          <w:b/>
          <w:bCs/>
          <w:i/>
          <w:iCs/>
          <w:sz w:val="22"/>
          <w:szCs w:val="22"/>
          <w:lang w:val="en-US" w:eastAsia="zh-CN" w:bidi="ar-SA"/>
        </w:rPr>
      </w:pPr>
    </w:p>
    <w:p w14:paraId="62F918CC">
      <w:pPr>
        <w:rPr>
          <w:rFonts w:hint="default" w:eastAsia="宋体"/>
          <w:sz w:val="22"/>
          <w:szCs w:val="22"/>
          <w:lang w:val="en-US" w:eastAsia="zh-CN"/>
        </w:rPr>
      </w:pPr>
      <w:r>
        <w:rPr>
          <w:rFonts w:hint="default" w:ascii="Times New Roman Bold Italic" w:hAnsi="Times New Roman Bold Italic" w:cs="Times New Roman Bold Italic"/>
          <w:b/>
          <w:bCs/>
          <w:i/>
          <w:iCs/>
          <w:lang w:eastAsia="zh-CN"/>
        </w:rPr>
        <w:t xml:space="preserve">Proposal 5: Support larger </w:t>
      </w:r>
      <w:r>
        <w:rPr>
          <w:rFonts w:hint="default" w:ascii="Times New Roman Bold Italic" w:hAnsi="Times New Roman Bold Italic" w:cs="Times New Roman Bold Italic"/>
          <w:b/>
          <w:bCs/>
          <w:i/>
          <w:iCs/>
          <w:szCs w:val="20"/>
          <w:lang w:eastAsia="ko-KR"/>
        </w:rPr>
        <w:t>number of repetitions for Device 2b/C if it is essential</w:t>
      </w:r>
      <w:r>
        <w:rPr>
          <w:rFonts w:hint="eastAsia" w:ascii="Times New Roman Bold Italic" w:hAnsi="Times New Roman Bold Italic" w:cs="Times New Roman Bold Italic"/>
          <w:b/>
          <w:bCs/>
          <w:i/>
          <w:iCs/>
          <w:szCs w:val="20"/>
          <w:lang w:val="en-US" w:eastAsia="zh-CN"/>
        </w:rPr>
        <w:t>, e.g., the number of repetitions equals to 4.</w:t>
      </w:r>
    </w:p>
    <w:p w14:paraId="0C1A57F1">
      <w:pPr>
        <w:rPr>
          <w:rFonts w:hint="default" w:ascii="Times New Roman Bold Italic" w:hAnsi="Times New Roman Bold Italic" w:cs="Times New Roman Bold Italic"/>
          <w:b/>
          <w:bCs/>
          <w:i/>
          <w:iCs/>
          <w:szCs w:val="20"/>
          <w:lang w:eastAsia="ko-KR"/>
        </w:rPr>
      </w:pPr>
      <w:r>
        <w:rPr>
          <w:rFonts w:hint="default" w:ascii="Times New Roman Bold Italic" w:hAnsi="Times New Roman Bold Italic" w:cs="Times New Roman Bold Italic"/>
          <w:b/>
          <w:bCs/>
          <w:i/>
          <w:iCs/>
          <w:lang w:eastAsia="zh-CN"/>
        </w:rPr>
        <w:t xml:space="preserve">Proposal 6: Support larger </w:t>
      </w:r>
      <w:r>
        <w:rPr>
          <w:rFonts w:hint="default" w:ascii="Times New Roman Bold Italic" w:hAnsi="Times New Roman Bold Italic" w:cs="Times New Roman Bold Italic"/>
          <w:b/>
          <w:bCs/>
          <w:i/>
          <w:iCs/>
          <w:szCs w:val="20"/>
          <w:lang w:eastAsia="ko-KR"/>
        </w:rPr>
        <w:t>number of time domain resources for MSG1/Msg3 transmission for Device 2b/C.</w:t>
      </w:r>
    </w:p>
    <w:p w14:paraId="4AE1692F">
      <w:pPr>
        <w:rPr>
          <w:rFonts w:hint="default" w:ascii="Times New Roman Bold Italic" w:hAnsi="Times New Roman Bold Italic" w:eastAsia="宋体" w:cs="Times New Roman Bold Italic"/>
          <w:b/>
          <w:bCs/>
          <w:i/>
          <w:iCs/>
          <w:szCs w:val="20"/>
          <w:lang w:val="en-US" w:eastAsia="ko-KR"/>
        </w:rPr>
      </w:pPr>
      <w:r>
        <w:rPr>
          <w:rFonts w:hint="default" w:ascii="Times New Roman Bold Italic" w:hAnsi="Times New Roman Bold Italic" w:cs="Times New Roman Bold Italic"/>
          <w:b/>
          <w:bCs/>
          <w:i/>
          <w:iCs/>
          <w:lang w:eastAsia="zh-CN"/>
        </w:rPr>
        <w:t xml:space="preserve">Proposal 7: Consider larger </w:t>
      </w:r>
      <w:r>
        <w:rPr>
          <w:rFonts w:hint="default" w:ascii="Times New Roman Bold Italic" w:hAnsi="Times New Roman Bold Italic" w:cs="Times New Roman Bold Italic"/>
          <w:b/>
          <w:bCs/>
          <w:i/>
          <w:iCs/>
          <w:szCs w:val="20"/>
          <w:lang w:eastAsia="ko-KR"/>
        </w:rPr>
        <w:t>number of frequency domain resources for MSG1/Msg3 transmission for Device 2b/C.</w:t>
      </w:r>
    </w:p>
    <w:p w14:paraId="4EDDB731">
      <w:pPr>
        <w:rPr>
          <w:rFonts w:hint="default" w:ascii="Times New Roman Bold Italic" w:hAnsi="Times New Roman Bold Italic" w:eastAsia="宋体" w:cs="Times New Roman Bold Italic"/>
          <w:b/>
          <w:bCs/>
          <w:i/>
          <w:iCs/>
          <w:szCs w:val="20"/>
          <w:lang w:val="en-US" w:eastAsia="zh-CN"/>
        </w:rPr>
      </w:pPr>
      <w:r>
        <w:rPr>
          <w:rFonts w:hint="eastAsia" w:ascii="Times New Roman Bold Italic" w:hAnsi="Times New Roman Bold Italic" w:eastAsia="宋体" w:cs="Times New Roman Bold Italic"/>
          <w:b/>
          <w:bCs/>
          <w:i/>
          <w:iCs/>
          <w:szCs w:val="20"/>
          <w:lang w:val="en-US" w:eastAsia="zh-CN"/>
        </w:rPr>
        <w:t xml:space="preserve">Proposal </w:t>
      </w:r>
      <w:r>
        <w:rPr>
          <w:rFonts w:hint="eastAsia" w:ascii="Times New Roman Bold Italic" w:hAnsi="Times New Roman Bold Italic" w:cs="Times New Roman Bold Italic"/>
          <w:b/>
          <w:bCs/>
          <w:i/>
          <w:iCs/>
          <w:szCs w:val="20"/>
          <w:lang w:val="en-US" w:eastAsia="zh-CN"/>
        </w:rPr>
        <w:t>8</w:t>
      </w:r>
      <w:r>
        <w:rPr>
          <w:rFonts w:hint="eastAsia" w:ascii="Times New Roman Bold Italic" w:hAnsi="Times New Roman Bold Italic" w:eastAsia="宋体" w:cs="Times New Roman Bold Italic"/>
          <w:b/>
          <w:bCs/>
          <w:i/>
          <w:iCs/>
          <w:szCs w:val="20"/>
          <w:lang w:val="en-US" w:eastAsia="zh-CN"/>
        </w:rPr>
        <w:t>: Oscillator with different carrier frequency target at RF part could be used for D2R FDM scheme.</w:t>
      </w:r>
    </w:p>
    <w:p w14:paraId="731F0391">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9</w:t>
      </w:r>
      <w:r>
        <w:rPr>
          <w:rFonts w:hint="default" w:ascii="Times New Roman Bold Italic" w:hAnsi="Times New Roman Bold Italic" w:cs="Times New Roman Bold Italic"/>
          <w:b/>
          <w:bCs/>
          <w:i/>
          <w:iCs/>
          <w:lang w:eastAsia="zh-CN"/>
        </w:rPr>
        <w:t xml:space="preserve">: Consider CDMA for D2R transmission at least for </w:t>
      </w:r>
      <w:r>
        <w:rPr>
          <w:rFonts w:hint="default" w:ascii="Times New Roman Bold Italic" w:hAnsi="Times New Roman Bold Italic" w:cs="Times New Roman Bold Italic"/>
          <w:b/>
          <w:bCs/>
          <w:i/>
          <w:iCs/>
        </w:rPr>
        <w:t>Device C</w:t>
      </w:r>
      <w:r>
        <w:rPr>
          <w:rFonts w:hint="eastAsia" w:ascii="Times New Roman Bold Italic" w:hAnsi="Times New Roman Bold Italic" w:cs="Times New Roman Bold Italic"/>
          <w:b/>
          <w:bCs/>
          <w:i/>
          <w:iCs/>
          <w:lang w:val="en-US" w:eastAsia="zh-CN"/>
        </w:rPr>
        <w:t xml:space="preserve"> and study if LTE PRACH with ZC sequences could be used as baseline for further study.</w:t>
      </w:r>
    </w:p>
    <w:p w14:paraId="5B92AA78">
      <w:pPr>
        <w:pStyle w:val="17"/>
        <w:rPr>
          <w:rFonts w:hint="default" w:ascii="Times New Roman Bold Italic" w:hAnsi="Times New Roman Bold Italic" w:cs="Times New Roman Bold Italic"/>
          <w:b/>
          <w:bCs/>
          <w:i/>
          <w:iCs/>
          <w:sz w:val="22"/>
          <w:szCs w:val="22"/>
          <w:lang w:val="en-US" w:eastAsia="zh-CN"/>
        </w:rPr>
      </w:pPr>
    </w:p>
    <w:p w14:paraId="6FAA7B4D">
      <w:pPr>
        <w:pStyle w:val="17"/>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Proposal 1</w:t>
      </w:r>
      <w:r>
        <w:rPr>
          <w:rFonts w:hint="eastAsia" w:ascii="Times New Roman Bold Italic" w:hAnsi="Times New Roman Bold Italic" w:cs="Times New Roman Bold Italic"/>
          <w:b/>
          <w:bCs/>
          <w:i/>
          <w:iCs/>
          <w:sz w:val="22"/>
          <w:szCs w:val="22"/>
          <w:lang w:val="en-US" w:eastAsia="zh-CN"/>
        </w:rPr>
        <w:t>0</w:t>
      </w:r>
      <w:r>
        <w:rPr>
          <w:rFonts w:hint="default" w:ascii="Times New Roman Bold Italic" w:hAnsi="Times New Roman Bold Italic" w:cs="Times New Roman Bold Italic"/>
          <w:b/>
          <w:bCs/>
          <w:i/>
          <w:iCs/>
          <w:sz w:val="22"/>
          <w:szCs w:val="22"/>
          <w:lang w:val="en-US" w:eastAsia="zh-CN"/>
        </w:rPr>
        <w:t>: Support longer Preamble (e.g., 16 bit or 32 bit) and sequence with good autocorrlation (e.g., m-sequence or Gold sequence) .</w:t>
      </w:r>
    </w:p>
    <w:p w14:paraId="489C706E">
      <w:pPr>
        <w:pStyle w:val="17"/>
        <w:numPr>
          <w:ilvl w:val="0"/>
          <w:numId w:val="0"/>
        </w:numPr>
        <w:ind w:leftChars="0"/>
        <w:rPr>
          <w:rFonts w:hint="default" w:ascii="Times New Roman Bold Italic" w:hAnsi="Times New Roman Bold Italic" w:cs="Times New Roman Bold Italic"/>
          <w:b/>
          <w:bCs/>
          <w:i/>
          <w:iCs/>
          <w:sz w:val="22"/>
          <w:szCs w:val="22"/>
          <w:lang w:val="en-US" w:eastAsia="zh-CN"/>
        </w:rPr>
      </w:pPr>
      <w:r>
        <w:rPr>
          <w:rFonts w:hint="eastAsia" w:ascii="Times New Roman Bold Italic" w:hAnsi="Times New Roman Bold Italic" w:cs="Times New Roman Bold Italic"/>
          <w:b/>
          <w:bCs/>
          <w:i/>
          <w:iCs/>
          <w:sz w:val="22"/>
          <w:szCs w:val="22"/>
          <w:lang w:val="en-US" w:eastAsia="zh-CN"/>
        </w:rPr>
        <w:t xml:space="preserve">Proposal 11: Consider the impact of different D2R Preamble sequence on </w:t>
      </w:r>
      <w:r>
        <w:rPr>
          <w:rFonts w:hint="default" w:ascii="Times New Roman Bold" w:hAnsi="Times New Roman Bold" w:cs="Times New Roman Bold"/>
          <w:b/>
          <w:bCs/>
          <w:lang w:val="en-US" w:eastAsia="zh-CN"/>
        </w:rPr>
        <w:t>reader differentiation or identify device types or CDMA</w:t>
      </w:r>
      <w:r>
        <w:rPr>
          <w:rFonts w:hint="eastAsia" w:ascii="Times New Roman Bold" w:hAnsi="Times New Roman Bold" w:cs="Times New Roman Bold"/>
          <w:b/>
          <w:bCs/>
          <w:lang w:val="en-US" w:eastAsia="zh-CN"/>
        </w:rPr>
        <w:t>.</w:t>
      </w:r>
    </w:p>
    <w:p w14:paraId="5684992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 Proposal 1</w:t>
      </w:r>
      <w:r>
        <w:rPr>
          <w:rFonts w:hint="eastAsia" w:ascii="Times New Roman Bold Italic" w:hAnsi="Times New Roman Bold Italic" w:cs="Times New Roman Bold Italic"/>
          <w:b/>
          <w:bCs/>
          <w:i/>
          <w:iCs/>
          <w:lang w:val="en-US" w:eastAsia="zh-CN"/>
        </w:rPr>
        <w:t>2</w:t>
      </w:r>
      <w:r>
        <w:rPr>
          <w:rFonts w:hint="default" w:ascii="Times New Roman Bold Italic" w:hAnsi="Times New Roman Bold Italic" w:cs="Times New Roman Bold Italic"/>
          <w:b/>
          <w:bCs/>
          <w:i/>
          <w:iCs/>
          <w:lang w:val="en-US" w:eastAsia="zh-CN"/>
        </w:rPr>
        <w:t>: Consider same functions of D2R Midamble like Rel-19 and study the impact of modulation on D2R Midamble, e.g., MSK or DBPSK.</w:t>
      </w:r>
    </w:p>
    <w:p w14:paraId="7B1A1BCF">
      <w:pPr>
        <w:rPr>
          <w:iCs/>
          <w:lang w:eastAsia="zh-CN"/>
        </w:rPr>
      </w:pPr>
    </w:p>
    <w:p w14:paraId="3F3D430A">
      <w:pPr>
        <w:pStyle w:val="2"/>
        <w:numPr>
          <w:ilvl w:val="0"/>
          <w:numId w:val="0"/>
        </w:numPr>
        <w:ind w:left="432" w:hanging="432"/>
      </w:pPr>
      <w:bookmarkStart w:id="2" w:name="_Ref71620620"/>
      <w:bookmarkStart w:id="3" w:name="_Ref124671424"/>
      <w:bookmarkStart w:id="4" w:name="_Ref124589665"/>
      <w:r>
        <w:t>References</w:t>
      </w:r>
    </w:p>
    <w:bookmarkEnd w:id="2"/>
    <w:bookmarkEnd w:id="3"/>
    <w:bookmarkEnd w:id="4"/>
    <w:p w14:paraId="2C41AA2E">
      <w:pPr>
        <w:pStyle w:val="37"/>
        <w:tabs>
          <w:tab w:val="left" w:pos="1778"/>
        </w:tabs>
        <w:rPr>
          <w:sz w:val="22"/>
          <w:szCs w:val="22"/>
        </w:rPr>
      </w:pPr>
      <w:bookmarkStart w:id="5" w:name="_Ref162960118"/>
      <w:r>
        <w:rPr>
          <w:sz w:val="22"/>
          <w:szCs w:val="22"/>
        </w:rPr>
        <w:t>RP-251884, New SID on enhancements for solutions for Ambient IoT (Internet of Things) in NR outdoor for active devices</w:t>
      </w:r>
      <w:bookmarkEnd w:id="5"/>
    </w:p>
    <w:p w14:paraId="6E2A6E7D">
      <w:pPr>
        <w:pStyle w:val="37"/>
        <w:tabs>
          <w:tab w:val="left" w:pos="1778"/>
        </w:tabs>
        <w:rPr>
          <w:sz w:val="22"/>
          <w:szCs w:val="22"/>
        </w:rPr>
      </w:pPr>
      <w:bookmarkStart w:id="6" w:name="_Ref205482428"/>
      <w:r>
        <w:rPr>
          <w:sz w:val="22"/>
          <w:szCs w:val="22"/>
        </w:rPr>
        <w:t>3GPP TR 38.769 V19.0.0</w:t>
      </w:r>
      <w:r>
        <w:rPr>
          <w:rFonts w:hint="eastAsia"/>
          <w:sz w:val="22"/>
          <w:szCs w:val="22"/>
          <w:lang w:eastAsia="zh-CN"/>
        </w:rPr>
        <w:t xml:space="preserve">, </w:t>
      </w:r>
      <w:r>
        <w:rPr>
          <w:sz w:val="22"/>
          <w:szCs w:val="22"/>
        </w:rPr>
        <w:t>Study on solutions for Ambient IoT (Internet of Things) in N</w:t>
      </w:r>
      <w:r>
        <w:rPr>
          <w:rFonts w:hint="eastAsia"/>
          <w:sz w:val="22"/>
          <w:szCs w:val="22"/>
          <w:lang w:eastAsia="zh-CN"/>
        </w:rPr>
        <w:t>R</w:t>
      </w:r>
      <w:bookmarkEnd w:id="6"/>
    </w:p>
    <w:p w14:paraId="6CDDB20F">
      <w:pPr>
        <w:pStyle w:val="37"/>
        <w:tabs>
          <w:tab w:val="left" w:pos="1778"/>
        </w:tabs>
        <w:rPr>
          <w:sz w:val="22"/>
          <w:szCs w:val="22"/>
        </w:rPr>
      </w:pPr>
      <w:bookmarkStart w:id="7" w:name="_Ref205565683"/>
      <w:r>
        <w:rPr>
          <w:sz w:val="22"/>
          <w:szCs w:val="22"/>
        </w:rPr>
        <w:t>3GPP TS 38.291 V19.0.0</w:t>
      </w:r>
      <w:r>
        <w:rPr>
          <w:rFonts w:hint="eastAsia"/>
          <w:sz w:val="22"/>
          <w:szCs w:val="22"/>
          <w:lang w:eastAsia="zh-CN"/>
        </w:rPr>
        <w:t xml:space="preserve">, </w:t>
      </w:r>
      <w:r>
        <w:rPr>
          <w:sz w:val="22"/>
          <w:szCs w:val="22"/>
        </w:rPr>
        <w:t>Ambient IoT Physical laye</w:t>
      </w:r>
      <w:r>
        <w:rPr>
          <w:rFonts w:hint="eastAsia"/>
          <w:sz w:val="22"/>
          <w:szCs w:val="22"/>
          <w:lang w:eastAsia="zh-CN"/>
        </w:rPr>
        <w:t>r</w:t>
      </w:r>
      <w:bookmarkEnd w:id="7"/>
    </w:p>
    <w:sectPr>
      <w:footerReference r:id="rId4" w:type="default"/>
      <w:type w:val="continuous"/>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S Gothic">
    <w:altName w:val="Hiragino Sans"/>
    <w:panose1 w:val="020B06090702050802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Times New Roman Regular">
    <w:panose1 w:val="02020503050405090304"/>
    <w:charset w:val="00"/>
    <w:family w:val="auto"/>
    <w:pitch w:val="default"/>
    <w:sig w:usb0="E0000AFF" w:usb1="00007843"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Cambria Math">
    <w:altName w:val="Kingsoft Math"/>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Kingsoft Math">
    <w:panose1 w:val="02040503050406030204"/>
    <w:charset w:val="00"/>
    <w:family w:val="auto"/>
    <w:pitch w:val="default"/>
    <w:sig w:usb0="80000087" w:usb1="00002068" w:usb2="00000000" w:usb3="00000000" w:csb0="2000019F"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8298FFF">
        <w:pPr>
          <w:pStyle w:val="21"/>
          <w:jc w:val="center"/>
        </w:pPr>
        <w:r>
          <w:fldChar w:fldCharType="begin"/>
        </w:r>
        <w:r>
          <w:instrText xml:space="preserve"> PAGE   \* MERGEFORMAT </w:instrText>
        </w:r>
        <w:r>
          <w:fldChar w:fldCharType="separate"/>
        </w:r>
        <w:r>
          <w:t>1</w:t>
        </w:r>
        <w:r>
          <w:fldChar w:fldCharType="end"/>
        </w:r>
      </w:p>
    </w:sdtContent>
  </w:sdt>
  <w:p w14:paraId="7D85FB9B">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FEBA06"/>
    <w:multiLevelType w:val="singleLevel"/>
    <w:tmpl w:val="E7FEBA06"/>
    <w:lvl w:ilvl="0" w:tentative="0">
      <w:start w:val="1"/>
      <w:numFmt w:val="decimal"/>
      <w:suff w:val="space"/>
      <w:lvlText w:val="%1)"/>
      <w:lvlJc w:val="left"/>
    </w:lvl>
  </w:abstractNum>
  <w:abstractNum w:abstractNumId="1">
    <w:nsid w:val="FFFFFF82"/>
    <w:multiLevelType w:val="singleLevel"/>
    <w:tmpl w:val="FFFFFF82"/>
    <w:lvl w:ilvl="0" w:tentative="0">
      <w:start w:val="1"/>
      <w:numFmt w:val="bullet"/>
      <w:pStyle w:val="16"/>
      <w:lvlText w:val=""/>
      <w:lvlJc w:val="left"/>
      <w:pPr>
        <w:tabs>
          <w:tab w:val="left" w:pos="1800"/>
        </w:tabs>
        <w:ind w:left="1800" w:hanging="720"/>
      </w:pPr>
      <w:rPr>
        <w:rFonts w:hint="default" w:ascii="Symbol" w:hAnsi="Symbol"/>
      </w:rPr>
    </w:lvl>
  </w:abstractNum>
  <w:abstractNum w:abstractNumId="2">
    <w:nsid w:val="FFFFFF83"/>
    <w:multiLevelType w:val="singleLevel"/>
    <w:tmpl w:val="FFFFFF83"/>
    <w:lvl w:ilvl="0" w:tentative="0">
      <w:start w:val="1"/>
      <w:numFmt w:val="bullet"/>
      <w:pStyle w:val="19"/>
      <w:lvlText w:val=""/>
      <w:lvlJc w:val="left"/>
      <w:pPr>
        <w:tabs>
          <w:tab w:val="left" w:pos="1440"/>
        </w:tabs>
        <w:ind w:left="1440" w:hanging="720"/>
      </w:pPr>
      <w:rPr>
        <w:rFonts w:hint="default" w:ascii="Symbol" w:hAnsi="Symbol"/>
      </w:rPr>
    </w:lvl>
  </w:abstractNum>
  <w:abstractNum w:abstractNumId="3">
    <w:nsid w:val="FFFFFFFE"/>
    <w:multiLevelType w:val="singleLevel"/>
    <w:tmpl w:val="FFFFFFFE"/>
    <w:lvl w:ilvl="0" w:tentative="0">
      <w:start w:val="0"/>
      <w:numFmt w:val="decimal"/>
      <w:lvlText w:val="*"/>
      <w:lvlJc w:val="left"/>
    </w:lvl>
  </w:abstractNum>
  <w:abstractNum w:abstractNumId="4">
    <w:nsid w:val="21E922F8"/>
    <w:multiLevelType w:val="multilevel"/>
    <w:tmpl w:val="21E922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7">
    <w:nsid w:val="478D25EB"/>
    <w:multiLevelType w:val="multilevel"/>
    <w:tmpl w:val="478D25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B1F283C"/>
    <w:multiLevelType w:val="singleLevel"/>
    <w:tmpl w:val="4B1F283C"/>
    <w:lvl w:ilvl="0" w:tentative="0">
      <w:start w:val="1"/>
      <w:numFmt w:val="bullet"/>
      <w:pStyle w:val="50"/>
      <w:lvlText w:val=""/>
      <w:lvlJc w:val="left"/>
      <w:pPr>
        <w:tabs>
          <w:tab w:val="left" w:pos="1843"/>
        </w:tabs>
        <w:ind w:left="1843" w:hanging="425"/>
      </w:pPr>
      <w:rPr>
        <w:rFonts w:hint="default" w:ascii="Symbol" w:hAnsi="Symbol"/>
      </w:rPr>
    </w:lvl>
  </w:abstractNum>
  <w:abstractNum w:abstractNumId="9">
    <w:nsid w:val="536C2917"/>
    <w:multiLevelType w:val="multilevel"/>
    <w:tmpl w:val="536C29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9EC4D52"/>
    <w:multiLevelType w:val="multilevel"/>
    <w:tmpl w:val="69EC4D52"/>
    <w:lvl w:ilvl="0" w:tentative="0">
      <w:start w:val="18"/>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7C267F9C"/>
    <w:multiLevelType w:val="multilevel"/>
    <w:tmpl w:val="7C267F9C"/>
    <w:lvl w:ilvl="0" w:tentative="0">
      <w:start w:val="0"/>
      <w:numFmt w:val="bullet"/>
      <w:pStyle w:val="70"/>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
  </w:num>
  <w:num w:numId="3">
    <w:abstractNumId w:val="2"/>
  </w:num>
  <w:num w:numId="4">
    <w:abstractNumId w:val="6"/>
  </w:num>
  <w:num w:numId="5">
    <w:abstractNumId w:val="8"/>
  </w:num>
  <w:num w:numId="6">
    <w:abstractNumId w:val="3"/>
    <w:lvlOverride w:ilvl="0">
      <w:lvl w:ilvl="0" w:tentative="1">
        <w:start w:val="1"/>
        <w:numFmt w:val="bullet"/>
        <w:pStyle w:val="65"/>
        <w:lvlText w:val=""/>
        <w:legacy w:legacy="1" w:legacySpace="0" w:legacyIndent="360"/>
        <w:lvlJc w:val="left"/>
        <w:pPr>
          <w:ind w:left="360" w:hanging="360"/>
        </w:pPr>
        <w:rPr>
          <w:rFonts w:hint="default" w:ascii="Symbol" w:hAnsi="Symbol"/>
        </w:rPr>
      </w:lvl>
    </w:lvlOverride>
  </w:num>
  <w:num w:numId="7">
    <w:abstractNumId w:val="11"/>
  </w:num>
  <w:num w:numId="8">
    <w:abstractNumId w:val="9"/>
  </w:num>
  <w:num w:numId="9">
    <w:abstractNumId w:val="10"/>
  </w:num>
  <w:num w:numId="10">
    <w:abstractNumId w:val="7"/>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4E1"/>
    <w:rsid w:val="00000825"/>
    <w:rsid w:val="00000D04"/>
    <w:rsid w:val="00000DB2"/>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CA4"/>
    <w:rsid w:val="00004E70"/>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F3"/>
    <w:rsid w:val="00023388"/>
    <w:rsid w:val="00023425"/>
    <w:rsid w:val="00023BCE"/>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3358"/>
    <w:rsid w:val="000434B7"/>
    <w:rsid w:val="000435E4"/>
    <w:rsid w:val="000436B1"/>
    <w:rsid w:val="00044713"/>
    <w:rsid w:val="000449AC"/>
    <w:rsid w:val="00044AB4"/>
    <w:rsid w:val="00044F91"/>
    <w:rsid w:val="00044FEC"/>
    <w:rsid w:val="000452E5"/>
    <w:rsid w:val="00045411"/>
    <w:rsid w:val="000462A8"/>
    <w:rsid w:val="00046796"/>
    <w:rsid w:val="000467FD"/>
    <w:rsid w:val="00046AAF"/>
    <w:rsid w:val="00047225"/>
    <w:rsid w:val="0004747C"/>
    <w:rsid w:val="000474FA"/>
    <w:rsid w:val="00047E60"/>
    <w:rsid w:val="00047FF5"/>
    <w:rsid w:val="000507AA"/>
    <w:rsid w:val="00050860"/>
    <w:rsid w:val="0005169A"/>
    <w:rsid w:val="00052AD2"/>
    <w:rsid w:val="00052E0B"/>
    <w:rsid w:val="000530DF"/>
    <w:rsid w:val="000532AA"/>
    <w:rsid w:val="00054E0C"/>
    <w:rsid w:val="0005541D"/>
    <w:rsid w:val="00055652"/>
    <w:rsid w:val="00055CD7"/>
    <w:rsid w:val="000565C8"/>
    <w:rsid w:val="00056F2F"/>
    <w:rsid w:val="00057A70"/>
    <w:rsid w:val="00057DC8"/>
    <w:rsid w:val="000600BB"/>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FE"/>
    <w:rsid w:val="00071192"/>
    <w:rsid w:val="000712C9"/>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501C"/>
    <w:rsid w:val="00085E04"/>
    <w:rsid w:val="00086800"/>
    <w:rsid w:val="00087913"/>
    <w:rsid w:val="00087A5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3A"/>
    <w:rsid w:val="000D5851"/>
    <w:rsid w:val="000D59C0"/>
    <w:rsid w:val="000D5C60"/>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EC1"/>
    <w:rsid w:val="000E34CB"/>
    <w:rsid w:val="000E3C23"/>
    <w:rsid w:val="000E46A4"/>
    <w:rsid w:val="000E499F"/>
    <w:rsid w:val="000E4ABA"/>
    <w:rsid w:val="000E53C0"/>
    <w:rsid w:val="000E53ED"/>
    <w:rsid w:val="000E59A0"/>
    <w:rsid w:val="000E5C63"/>
    <w:rsid w:val="000E7A84"/>
    <w:rsid w:val="000E7B1B"/>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37"/>
    <w:rsid w:val="00107779"/>
    <w:rsid w:val="001078C2"/>
    <w:rsid w:val="00107E1C"/>
    <w:rsid w:val="00110243"/>
    <w:rsid w:val="001104C2"/>
    <w:rsid w:val="00110F68"/>
    <w:rsid w:val="001112C4"/>
    <w:rsid w:val="00111444"/>
    <w:rsid w:val="00111723"/>
    <w:rsid w:val="001129B5"/>
    <w:rsid w:val="00112AF7"/>
    <w:rsid w:val="00112BE6"/>
    <w:rsid w:val="00113B94"/>
    <w:rsid w:val="001141E3"/>
    <w:rsid w:val="001144DF"/>
    <w:rsid w:val="00114BBF"/>
    <w:rsid w:val="00114DC4"/>
    <w:rsid w:val="001152C3"/>
    <w:rsid w:val="001154E5"/>
    <w:rsid w:val="0011557B"/>
    <w:rsid w:val="00115F9D"/>
    <w:rsid w:val="00116739"/>
    <w:rsid w:val="00117C85"/>
    <w:rsid w:val="001205C1"/>
    <w:rsid w:val="00120B0B"/>
    <w:rsid w:val="00120B13"/>
    <w:rsid w:val="00120BD7"/>
    <w:rsid w:val="001210F9"/>
    <w:rsid w:val="001217CC"/>
    <w:rsid w:val="0012211B"/>
    <w:rsid w:val="0012231B"/>
    <w:rsid w:val="001226E1"/>
    <w:rsid w:val="00124CCA"/>
    <w:rsid w:val="00124D84"/>
    <w:rsid w:val="001250DD"/>
    <w:rsid w:val="00125733"/>
    <w:rsid w:val="0012593A"/>
    <w:rsid w:val="001263AA"/>
    <w:rsid w:val="00126DD3"/>
    <w:rsid w:val="00127699"/>
    <w:rsid w:val="00127981"/>
    <w:rsid w:val="00130779"/>
    <w:rsid w:val="001307A1"/>
    <w:rsid w:val="00130D22"/>
    <w:rsid w:val="00131A7E"/>
    <w:rsid w:val="001321D3"/>
    <w:rsid w:val="00133599"/>
    <w:rsid w:val="00133BF7"/>
    <w:rsid w:val="00134B88"/>
    <w:rsid w:val="001357D2"/>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450F"/>
    <w:rsid w:val="00144D8F"/>
    <w:rsid w:val="00145C74"/>
    <w:rsid w:val="00145C8F"/>
    <w:rsid w:val="0014610E"/>
    <w:rsid w:val="001462E9"/>
    <w:rsid w:val="00146E32"/>
    <w:rsid w:val="001472F6"/>
    <w:rsid w:val="0014747A"/>
    <w:rsid w:val="00147888"/>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7D8"/>
    <w:rsid w:val="00157FC3"/>
    <w:rsid w:val="00160739"/>
    <w:rsid w:val="00160F2D"/>
    <w:rsid w:val="00161EEE"/>
    <w:rsid w:val="0016271E"/>
    <w:rsid w:val="00162D7A"/>
    <w:rsid w:val="001635BC"/>
    <w:rsid w:val="00163F06"/>
    <w:rsid w:val="001647D7"/>
    <w:rsid w:val="00164DAB"/>
    <w:rsid w:val="00164FC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4D8"/>
    <w:rsid w:val="00175C30"/>
    <w:rsid w:val="00177069"/>
    <w:rsid w:val="00177406"/>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50CE"/>
    <w:rsid w:val="001A5715"/>
    <w:rsid w:val="001A59D0"/>
    <w:rsid w:val="001A5D08"/>
    <w:rsid w:val="001A5EDA"/>
    <w:rsid w:val="001A5F1C"/>
    <w:rsid w:val="001A673E"/>
    <w:rsid w:val="001A7763"/>
    <w:rsid w:val="001A7844"/>
    <w:rsid w:val="001A7ED9"/>
    <w:rsid w:val="001B10F7"/>
    <w:rsid w:val="001B17C6"/>
    <w:rsid w:val="001B1EF4"/>
    <w:rsid w:val="001B3964"/>
    <w:rsid w:val="001B433D"/>
    <w:rsid w:val="001B4452"/>
    <w:rsid w:val="001B466C"/>
    <w:rsid w:val="001B4797"/>
    <w:rsid w:val="001B4C95"/>
    <w:rsid w:val="001B4F34"/>
    <w:rsid w:val="001B52EC"/>
    <w:rsid w:val="001B532E"/>
    <w:rsid w:val="001B554A"/>
    <w:rsid w:val="001B59A2"/>
    <w:rsid w:val="001B6564"/>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6E4"/>
    <w:rsid w:val="001E379D"/>
    <w:rsid w:val="001E3A3C"/>
    <w:rsid w:val="001E5107"/>
    <w:rsid w:val="001E557D"/>
    <w:rsid w:val="001E56DB"/>
    <w:rsid w:val="001E5C23"/>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E88"/>
    <w:rsid w:val="002168AD"/>
    <w:rsid w:val="0021696B"/>
    <w:rsid w:val="00216FD7"/>
    <w:rsid w:val="00217FC2"/>
    <w:rsid w:val="002206E0"/>
    <w:rsid w:val="00220894"/>
    <w:rsid w:val="002214DE"/>
    <w:rsid w:val="00221AD0"/>
    <w:rsid w:val="00223792"/>
    <w:rsid w:val="00224952"/>
    <w:rsid w:val="00224DD2"/>
    <w:rsid w:val="00225468"/>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4A02"/>
    <w:rsid w:val="002451C5"/>
    <w:rsid w:val="002453D8"/>
    <w:rsid w:val="00245F1F"/>
    <w:rsid w:val="002465F4"/>
    <w:rsid w:val="0024663B"/>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731"/>
    <w:rsid w:val="0027195D"/>
    <w:rsid w:val="0027257C"/>
    <w:rsid w:val="002726B0"/>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2C7"/>
    <w:rsid w:val="002B75B0"/>
    <w:rsid w:val="002B7EAF"/>
    <w:rsid w:val="002C099C"/>
    <w:rsid w:val="002C0B74"/>
    <w:rsid w:val="002C0C8B"/>
    <w:rsid w:val="002C0CBB"/>
    <w:rsid w:val="002C1201"/>
    <w:rsid w:val="002C1460"/>
    <w:rsid w:val="002C15DC"/>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57B"/>
    <w:rsid w:val="002E3C65"/>
    <w:rsid w:val="002E3F5B"/>
    <w:rsid w:val="002E4088"/>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B15"/>
    <w:rsid w:val="00306DB6"/>
    <w:rsid w:val="00306E6B"/>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65C2"/>
    <w:rsid w:val="00326957"/>
    <w:rsid w:val="00326AE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F1"/>
    <w:rsid w:val="00363642"/>
    <w:rsid w:val="003636CD"/>
    <w:rsid w:val="003637A2"/>
    <w:rsid w:val="0036487C"/>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1C9D"/>
    <w:rsid w:val="00392A0A"/>
    <w:rsid w:val="00393448"/>
    <w:rsid w:val="0039366B"/>
    <w:rsid w:val="003940CE"/>
    <w:rsid w:val="003942F3"/>
    <w:rsid w:val="003957FD"/>
    <w:rsid w:val="00395F62"/>
    <w:rsid w:val="003966EE"/>
    <w:rsid w:val="003970A2"/>
    <w:rsid w:val="00397C1D"/>
    <w:rsid w:val="00397C98"/>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30A6"/>
    <w:rsid w:val="003D3520"/>
    <w:rsid w:val="003D3DDD"/>
    <w:rsid w:val="003D41FF"/>
    <w:rsid w:val="003D427A"/>
    <w:rsid w:val="003D4547"/>
    <w:rsid w:val="003D5531"/>
    <w:rsid w:val="003D5CBF"/>
    <w:rsid w:val="003D66D2"/>
    <w:rsid w:val="003E012A"/>
    <w:rsid w:val="003E07AE"/>
    <w:rsid w:val="003E089C"/>
    <w:rsid w:val="003E0AE6"/>
    <w:rsid w:val="003E10E2"/>
    <w:rsid w:val="003E14FC"/>
    <w:rsid w:val="003E27B7"/>
    <w:rsid w:val="003E2976"/>
    <w:rsid w:val="003E2D4C"/>
    <w:rsid w:val="003E347E"/>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83F"/>
    <w:rsid w:val="0040126E"/>
    <w:rsid w:val="00401A8C"/>
    <w:rsid w:val="004020D4"/>
    <w:rsid w:val="004021B6"/>
    <w:rsid w:val="004036FC"/>
    <w:rsid w:val="00403E5E"/>
    <w:rsid w:val="00403EA4"/>
    <w:rsid w:val="004047BE"/>
    <w:rsid w:val="004047C4"/>
    <w:rsid w:val="0040570B"/>
    <w:rsid w:val="004058E9"/>
    <w:rsid w:val="00405AC1"/>
    <w:rsid w:val="00405EDB"/>
    <w:rsid w:val="00405FB1"/>
    <w:rsid w:val="00406460"/>
    <w:rsid w:val="004065EB"/>
    <w:rsid w:val="00406992"/>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AC9"/>
    <w:rsid w:val="00440D0C"/>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BB6"/>
    <w:rsid w:val="00453C7C"/>
    <w:rsid w:val="00453CAA"/>
    <w:rsid w:val="00454058"/>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2DD"/>
    <w:rsid w:val="00466532"/>
    <w:rsid w:val="00466C53"/>
    <w:rsid w:val="00467488"/>
    <w:rsid w:val="00467A55"/>
    <w:rsid w:val="0047083E"/>
    <w:rsid w:val="00470EB5"/>
    <w:rsid w:val="00472375"/>
    <w:rsid w:val="0047286B"/>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BC"/>
    <w:rsid w:val="004958BB"/>
    <w:rsid w:val="00495D63"/>
    <w:rsid w:val="00495FBE"/>
    <w:rsid w:val="0049648F"/>
    <w:rsid w:val="00496606"/>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B8B"/>
    <w:rsid w:val="004A3BF1"/>
    <w:rsid w:val="004A3E42"/>
    <w:rsid w:val="004A4198"/>
    <w:rsid w:val="004A446C"/>
    <w:rsid w:val="004A4715"/>
    <w:rsid w:val="004A5046"/>
    <w:rsid w:val="004A565E"/>
    <w:rsid w:val="004A5DF3"/>
    <w:rsid w:val="004A6134"/>
    <w:rsid w:val="004A62CF"/>
    <w:rsid w:val="004A6CE3"/>
    <w:rsid w:val="004A6DA0"/>
    <w:rsid w:val="004A6E47"/>
    <w:rsid w:val="004A7092"/>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2FBB"/>
    <w:rsid w:val="004C304C"/>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41C06"/>
    <w:rsid w:val="00541D0B"/>
    <w:rsid w:val="0054201F"/>
    <w:rsid w:val="005425AD"/>
    <w:rsid w:val="00542638"/>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3F21"/>
    <w:rsid w:val="005A4348"/>
    <w:rsid w:val="005A434B"/>
    <w:rsid w:val="005A495A"/>
    <w:rsid w:val="005A5718"/>
    <w:rsid w:val="005A6537"/>
    <w:rsid w:val="005A71DA"/>
    <w:rsid w:val="005A7C61"/>
    <w:rsid w:val="005A7F32"/>
    <w:rsid w:val="005B0417"/>
    <w:rsid w:val="005B0542"/>
    <w:rsid w:val="005B0B97"/>
    <w:rsid w:val="005B174F"/>
    <w:rsid w:val="005B2225"/>
    <w:rsid w:val="005B2375"/>
    <w:rsid w:val="005B2799"/>
    <w:rsid w:val="005B2B77"/>
    <w:rsid w:val="005B3D4A"/>
    <w:rsid w:val="005B42D5"/>
    <w:rsid w:val="005B447B"/>
    <w:rsid w:val="005B4D87"/>
    <w:rsid w:val="005B50E9"/>
    <w:rsid w:val="005B538D"/>
    <w:rsid w:val="005B55F8"/>
    <w:rsid w:val="005B566D"/>
    <w:rsid w:val="005B6398"/>
    <w:rsid w:val="005B6ADF"/>
    <w:rsid w:val="005B7186"/>
    <w:rsid w:val="005B7DD1"/>
    <w:rsid w:val="005B7F03"/>
    <w:rsid w:val="005C00A0"/>
    <w:rsid w:val="005C28FA"/>
    <w:rsid w:val="005C372C"/>
    <w:rsid w:val="005C40F4"/>
    <w:rsid w:val="005C4220"/>
    <w:rsid w:val="005C43BE"/>
    <w:rsid w:val="005C44F3"/>
    <w:rsid w:val="005C6082"/>
    <w:rsid w:val="005C6582"/>
    <w:rsid w:val="005C661F"/>
    <w:rsid w:val="005C6EBE"/>
    <w:rsid w:val="005C712D"/>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111"/>
    <w:rsid w:val="006101DF"/>
    <w:rsid w:val="006108B2"/>
    <w:rsid w:val="00611055"/>
    <w:rsid w:val="00611F77"/>
    <w:rsid w:val="00612BE4"/>
    <w:rsid w:val="006130F7"/>
    <w:rsid w:val="0061370B"/>
    <w:rsid w:val="00613AF8"/>
    <w:rsid w:val="00613D8E"/>
    <w:rsid w:val="006142E0"/>
    <w:rsid w:val="006143C0"/>
    <w:rsid w:val="00615206"/>
    <w:rsid w:val="00615466"/>
    <w:rsid w:val="00615E74"/>
    <w:rsid w:val="00615F97"/>
    <w:rsid w:val="00616112"/>
    <w:rsid w:val="006161E2"/>
    <w:rsid w:val="006173A4"/>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ECD"/>
    <w:rsid w:val="00656FDC"/>
    <w:rsid w:val="006571F6"/>
    <w:rsid w:val="006576D8"/>
    <w:rsid w:val="00657FA0"/>
    <w:rsid w:val="006604D5"/>
    <w:rsid w:val="006618CC"/>
    <w:rsid w:val="00661DA1"/>
    <w:rsid w:val="00662111"/>
    <w:rsid w:val="00662118"/>
    <w:rsid w:val="006638AD"/>
    <w:rsid w:val="00663A34"/>
    <w:rsid w:val="00663E55"/>
    <w:rsid w:val="006645DD"/>
    <w:rsid w:val="00665E37"/>
    <w:rsid w:val="00666D15"/>
    <w:rsid w:val="00666E4C"/>
    <w:rsid w:val="006671D4"/>
    <w:rsid w:val="0066732C"/>
    <w:rsid w:val="006679F5"/>
    <w:rsid w:val="00667B77"/>
    <w:rsid w:val="00671329"/>
    <w:rsid w:val="006714E6"/>
    <w:rsid w:val="006716DA"/>
    <w:rsid w:val="006728ED"/>
    <w:rsid w:val="0067293E"/>
    <w:rsid w:val="006732B1"/>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B16"/>
    <w:rsid w:val="00690BB6"/>
    <w:rsid w:val="006912EC"/>
    <w:rsid w:val="00691B30"/>
    <w:rsid w:val="006922E8"/>
    <w:rsid w:val="00693E1F"/>
    <w:rsid w:val="00693ECB"/>
    <w:rsid w:val="0069417D"/>
    <w:rsid w:val="00694797"/>
    <w:rsid w:val="00695175"/>
    <w:rsid w:val="00695887"/>
    <w:rsid w:val="00695D8F"/>
    <w:rsid w:val="006962D4"/>
    <w:rsid w:val="00696E01"/>
    <w:rsid w:val="00697476"/>
    <w:rsid w:val="00697733"/>
    <w:rsid w:val="00697A3C"/>
    <w:rsid w:val="006A01B5"/>
    <w:rsid w:val="006A1911"/>
    <w:rsid w:val="006A1D8D"/>
    <w:rsid w:val="006A254E"/>
    <w:rsid w:val="006A2C30"/>
    <w:rsid w:val="006A301C"/>
    <w:rsid w:val="006A3525"/>
    <w:rsid w:val="006A3D71"/>
    <w:rsid w:val="006A3E2B"/>
    <w:rsid w:val="006A4224"/>
    <w:rsid w:val="006A454D"/>
    <w:rsid w:val="006A4E81"/>
    <w:rsid w:val="006A593F"/>
    <w:rsid w:val="006A5955"/>
    <w:rsid w:val="006A6AB1"/>
    <w:rsid w:val="006A6C86"/>
    <w:rsid w:val="006A6E17"/>
    <w:rsid w:val="006A7264"/>
    <w:rsid w:val="006B0565"/>
    <w:rsid w:val="006B0600"/>
    <w:rsid w:val="006B120D"/>
    <w:rsid w:val="006B17E7"/>
    <w:rsid w:val="006B19E8"/>
    <w:rsid w:val="006B1A8A"/>
    <w:rsid w:val="006B1FD5"/>
    <w:rsid w:val="006B2C0E"/>
    <w:rsid w:val="006B3DE8"/>
    <w:rsid w:val="006B3F58"/>
    <w:rsid w:val="006B4889"/>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5965"/>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6066"/>
    <w:rsid w:val="006F656E"/>
    <w:rsid w:val="006F6850"/>
    <w:rsid w:val="006F707E"/>
    <w:rsid w:val="00700136"/>
    <w:rsid w:val="007001DC"/>
    <w:rsid w:val="0070048C"/>
    <w:rsid w:val="00700527"/>
    <w:rsid w:val="00701ABA"/>
    <w:rsid w:val="00701B0A"/>
    <w:rsid w:val="00701BED"/>
    <w:rsid w:val="00701F22"/>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BD9"/>
    <w:rsid w:val="00754E7A"/>
    <w:rsid w:val="0075540C"/>
    <w:rsid w:val="00755DB1"/>
    <w:rsid w:val="00756570"/>
    <w:rsid w:val="007573A2"/>
    <w:rsid w:val="007574FC"/>
    <w:rsid w:val="00757FA5"/>
    <w:rsid w:val="00760975"/>
    <w:rsid w:val="00761A77"/>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1DE2"/>
    <w:rsid w:val="007724C8"/>
    <w:rsid w:val="00772BEF"/>
    <w:rsid w:val="00772F8A"/>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790"/>
    <w:rsid w:val="007947BC"/>
    <w:rsid w:val="00794924"/>
    <w:rsid w:val="00796161"/>
    <w:rsid w:val="007A03F1"/>
    <w:rsid w:val="007A0BC2"/>
    <w:rsid w:val="007A11FA"/>
    <w:rsid w:val="007A122F"/>
    <w:rsid w:val="007A13A0"/>
    <w:rsid w:val="007A19EE"/>
    <w:rsid w:val="007A1F44"/>
    <w:rsid w:val="007A1FDA"/>
    <w:rsid w:val="007A23FF"/>
    <w:rsid w:val="007A2564"/>
    <w:rsid w:val="007A295B"/>
    <w:rsid w:val="007A3424"/>
    <w:rsid w:val="007A35EF"/>
    <w:rsid w:val="007A3C66"/>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21BD"/>
    <w:rsid w:val="007B270A"/>
    <w:rsid w:val="007B27D0"/>
    <w:rsid w:val="007B2D3B"/>
    <w:rsid w:val="007B2DD7"/>
    <w:rsid w:val="007B468D"/>
    <w:rsid w:val="007B51FB"/>
    <w:rsid w:val="007B52CD"/>
    <w:rsid w:val="007B5851"/>
    <w:rsid w:val="007B5D73"/>
    <w:rsid w:val="007B6740"/>
    <w:rsid w:val="007B78FA"/>
    <w:rsid w:val="007B7908"/>
    <w:rsid w:val="007B7C85"/>
    <w:rsid w:val="007B7DC1"/>
    <w:rsid w:val="007B7EDB"/>
    <w:rsid w:val="007B7F46"/>
    <w:rsid w:val="007C000D"/>
    <w:rsid w:val="007C045E"/>
    <w:rsid w:val="007C1896"/>
    <w:rsid w:val="007C18ED"/>
    <w:rsid w:val="007C19AD"/>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490"/>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5937"/>
    <w:rsid w:val="008559C7"/>
    <w:rsid w:val="00856833"/>
    <w:rsid w:val="00856840"/>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766"/>
    <w:rsid w:val="008B389D"/>
    <w:rsid w:val="008B3C5C"/>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85E"/>
    <w:rsid w:val="008C7984"/>
    <w:rsid w:val="008D08E4"/>
    <w:rsid w:val="008D0A52"/>
    <w:rsid w:val="008D0AFB"/>
    <w:rsid w:val="008D12F7"/>
    <w:rsid w:val="008D1511"/>
    <w:rsid w:val="008D19BB"/>
    <w:rsid w:val="008D1ABE"/>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490"/>
    <w:rsid w:val="008F2FD5"/>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62C"/>
    <w:rsid w:val="009200AE"/>
    <w:rsid w:val="009204C5"/>
    <w:rsid w:val="00920986"/>
    <w:rsid w:val="00920B56"/>
    <w:rsid w:val="00920D87"/>
    <w:rsid w:val="00920EAF"/>
    <w:rsid w:val="00921013"/>
    <w:rsid w:val="0092180D"/>
    <w:rsid w:val="00921AB4"/>
    <w:rsid w:val="009226B4"/>
    <w:rsid w:val="009228B0"/>
    <w:rsid w:val="00922B06"/>
    <w:rsid w:val="00922B67"/>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14DC"/>
    <w:rsid w:val="00941E22"/>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B11"/>
    <w:rsid w:val="00956DDB"/>
    <w:rsid w:val="00960DA1"/>
    <w:rsid w:val="009618C0"/>
    <w:rsid w:val="00961ED2"/>
    <w:rsid w:val="0096257A"/>
    <w:rsid w:val="00962988"/>
    <w:rsid w:val="009633AA"/>
    <w:rsid w:val="00964ADB"/>
    <w:rsid w:val="00965291"/>
    <w:rsid w:val="009657F1"/>
    <w:rsid w:val="00965DE9"/>
    <w:rsid w:val="00965FD0"/>
    <w:rsid w:val="0096625D"/>
    <w:rsid w:val="00970032"/>
    <w:rsid w:val="009700F6"/>
    <w:rsid w:val="009709F8"/>
    <w:rsid w:val="00970E81"/>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463"/>
    <w:rsid w:val="009826C8"/>
    <w:rsid w:val="009836E4"/>
    <w:rsid w:val="0098412F"/>
    <w:rsid w:val="0098420F"/>
    <w:rsid w:val="0098550D"/>
    <w:rsid w:val="00985F28"/>
    <w:rsid w:val="00986149"/>
    <w:rsid w:val="00986176"/>
    <w:rsid w:val="00986E7F"/>
    <w:rsid w:val="00986F9A"/>
    <w:rsid w:val="00987536"/>
    <w:rsid w:val="00987A76"/>
    <w:rsid w:val="00987ADC"/>
    <w:rsid w:val="00987F19"/>
    <w:rsid w:val="00990158"/>
    <w:rsid w:val="00990BD5"/>
    <w:rsid w:val="00990D8D"/>
    <w:rsid w:val="00990E40"/>
    <w:rsid w:val="00991254"/>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69B"/>
    <w:rsid w:val="009C49B4"/>
    <w:rsid w:val="009C4BC2"/>
    <w:rsid w:val="009C4CC0"/>
    <w:rsid w:val="009C4D22"/>
    <w:rsid w:val="009C53B5"/>
    <w:rsid w:val="009C58A8"/>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2D4B"/>
    <w:rsid w:val="009E33F3"/>
    <w:rsid w:val="009E3443"/>
    <w:rsid w:val="009E386D"/>
    <w:rsid w:val="009E3A1B"/>
    <w:rsid w:val="009E3AFD"/>
    <w:rsid w:val="009E3CDD"/>
    <w:rsid w:val="009E3D6C"/>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CDA"/>
    <w:rsid w:val="00A34D62"/>
    <w:rsid w:val="00A35434"/>
    <w:rsid w:val="00A35A69"/>
    <w:rsid w:val="00A35B9F"/>
    <w:rsid w:val="00A3611D"/>
    <w:rsid w:val="00A36339"/>
    <w:rsid w:val="00A366E4"/>
    <w:rsid w:val="00A3675F"/>
    <w:rsid w:val="00A36FE0"/>
    <w:rsid w:val="00A370D8"/>
    <w:rsid w:val="00A408F6"/>
    <w:rsid w:val="00A412CC"/>
    <w:rsid w:val="00A41C81"/>
    <w:rsid w:val="00A423EA"/>
    <w:rsid w:val="00A42C2C"/>
    <w:rsid w:val="00A4376F"/>
    <w:rsid w:val="00A4503E"/>
    <w:rsid w:val="00A4504C"/>
    <w:rsid w:val="00A450A5"/>
    <w:rsid w:val="00A4515A"/>
    <w:rsid w:val="00A4534B"/>
    <w:rsid w:val="00A4549F"/>
    <w:rsid w:val="00A454B8"/>
    <w:rsid w:val="00A45B9B"/>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705CE"/>
    <w:rsid w:val="00A7075B"/>
    <w:rsid w:val="00A70839"/>
    <w:rsid w:val="00A7170D"/>
    <w:rsid w:val="00A71CE6"/>
    <w:rsid w:val="00A71D23"/>
    <w:rsid w:val="00A71F22"/>
    <w:rsid w:val="00A72761"/>
    <w:rsid w:val="00A7325A"/>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4A5"/>
    <w:rsid w:val="00A957E7"/>
    <w:rsid w:val="00A963C7"/>
    <w:rsid w:val="00A96714"/>
    <w:rsid w:val="00A97A8A"/>
    <w:rsid w:val="00AA09B7"/>
    <w:rsid w:val="00AA0F9D"/>
    <w:rsid w:val="00AA1626"/>
    <w:rsid w:val="00AA164F"/>
    <w:rsid w:val="00AA1842"/>
    <w:rsid w:val="00AA1C25"/>
    <w:rsid w:val="00AA36C4"/>
    <w:rsid w:val="00AA3CD1"/>
    <w:rsid w:val="00AA3DB7"/>
    <w:rsid w:val="00AA451C"/>
    <w:rsid w:val="00AA51F5"/>
    <w:rsid w:val="00AA5B7D"/>
    <w:rsid w:val="00AA5E3B"/>
    <w:rsid w:val="00AA5FB4"/>
    <w:rsid w:val="00AA62BB"/>
    <w:rsid w:val="00AA6884"/>
    <w:rsid w:val="00AA68B4"/>
    <w:rsid w:val="00AB0543"/>
    <w:rsid w:val="00AB09C7"/>
    <w:rsid w:val="00AB0AC9"/>
    <w:rsid w:val="00AB185A"/>
    <w:rsid w:val="00AB188B"/>
    <w:rsid w:val="00AB18B4"/>
    <w:rsid w:val="00AB1BA7"/>
    <w:rsid w:val="00AB1E04"/>
    <w:rsid w:val="00AB1ED4"/>
    <w:rsid w:val="00AB25C6"/>
    <w:rsid w:val="00AB27A9"/>
    <w:rsid w:val="00AB29CF"/>
    <w:rsid w:val="00AB2C54"/>
    <w:rsid w:val="00AB2F5B"/>
    <w:rsid w:val="00AB3113"/>
    <w:rsid w:val="00AB348A"/>
    <w:rsid w:val="00AB3F38"/>
    <w:rsid w:val="00AB43EC"/>
    <w:rsid w:val="00AB4BF4"/>
    <w:rsid w:val="00AB4D37"/>
    <w:rsid w:val="00AB4F28"/>
    <w:rsid w:val="00AB5ADF"/>
    <w:rsid w:val="00AB5BAE"/>
    <w:rsid w:val="00AB5C9A"/>
    <w:rsid w:val="00AB5DE1"/>
    <w:rsid w:val="00AB5E57"/>
    <w:rsid w:val="00AB65AB"/>
    <w:rsid w:val="00AB69B2"/>
    <w:rsid w:val="00AB725F"/>
    <w:rsid w:val="00AC0705"/>
    <w:rsid w:val="00AC109B"/>
    <w:rsid w:val="00AC1C47"/>
    <w:rsid w:val="00AC2291"/>
    <w:rsid w:val="00AC2D42"/>
    <w:rsid w:val="00AC3AE5"/>
    <w:rsid w:val="00AC4453"/>
    <w:rsid w:val="00AC48CA"/>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566"/>
    <w:rsid w:val="00AF3971"/>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42B5"/>
    <w:rsid w:val="00B147F5"/>
    <w:rsid w:val="00B14A7B"/>
    <w:rsid w:val="00B156A9"/>
    <w:rsid w:val="00B15F83"/>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FDE"/>
    <w:rsid w:val="00B26AB0"/>
    <w:rsid w:val="00B26AD2"/>
    <w:rsid w:val="00B26CA2"/>
    <w:rsid w:val="00B27ADC"/>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7594"/>
    <w:rsid w:val="00B37A0D"/>
    <w:rsid w:val="00B37D97"/>
    <w:rsid w:val="00B40187"/>
    <w:rsid w:val="00B41165"/>
    <w:rsid w:val="00B411BD"/>
    <w:rsid w:val="00B41559"/>
    <w:rsid w:val="00B418E8"/>
    <w:rsid w:val="00B42285"/>
    <w:rsid w:val="00B4274B"/>
    <w:rsid w:val="00B42DCA"/>
    <w:rsid w:val="00B435B1"/>
    <w:rsid w:val="00B435C9"/>
    <w:rsid w:val="00B4367F"/>
    <w:rsid w:val="00B438BA"/>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EE7"/>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E17"/>
    <w:rsid w:val="00B956B9"/>
    <w:rsid w:val="00B957FE"/>
    <w:rsid w:val="00B95ACB"/>
    <w:rsid w:val="00B95F02"/>
    <w:rsid w:val="00B96BEF"/>
    <w:rsid w:val="00B96FC0"/>
    <w:rsid w:val="00B97260"/>
    <w:rsid w:val="00B975B0"/>
    <w:rsid w:val="00B97A69"/>
    <w:rsid w:val="00BA0632"/>
    <w:rsid w:val="00BA0AAA"/>
    <w:rsid w:val="00BA0DFB"/>
    <w:rsid w:val="00BA1749"/>
    <w:rsid w:val="00BA2044"/>
    <w:rsid w:val="00BA2C6E"/>
    <w:rsid w:val="00BA2FEF"/>
    <w:rsid w:val="00BA34AE"/>
    <w:rsid w:val="00BA35BA"/>
    <w:rsid w:val="00BA3C52"/>
    <w:rsid w:val="00BA3FA7"/>
    <w:rsid w:val="00BA4141"/>
    <w:rsid w:val="00BA46A7"/>
    <w:rsid w:val="00BA4B85"/>
    <w:rsid w:val="00BA5322"/>
    <w:rsid w:val="00BA5C30"/>
    <w:rsid w:val="00BA6C5F"/>
    <w:rsid w:val="00BA6CE3"/>
    <w:rsid w:val="00BA70EA"/>
    <w:rsid w:val="00BA7689"/>
    <w:rsid w:val="00BB0785"/>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247F"/>
    <w:rsid w:val="00BC2752"/>
    <w:rsid w:val="00BC307F"/>
    <w:rsid w:val="00BC3159"/>
    <w:rsid w:val="00BC31C7"/>
    <w:rsid w:val="00BC3257"/>
    <w:rsid w:val="00BC357A"/>
    <w:rsid w:val="00BC39DB"/>
    <w:rsid w:val="00BC3A32"/>
    <w:rsid w:val="00BC3B07"/>
    <w:rsid w:val="00BC46EF"/>
    <w:rsid w:val="00BC4CD4"/>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B5"/>
    <w:rsid w:val="00C020C3"/>
    <w:rsid w:val="00C02419"/>
    <w:rsid w:val="00C02766"/>
    <w:rsid w:val="00C02AFE"/>
    <w:rsid w:val="00C02B77"/>
    <w:rsid w:val="00C03EE8"/>
    <w:rsid w:val="00C04535"/>
    <w:rsid w:val="00C0457A"/>
    <w:rsid w:val="00C05979"/>
    <w:rsid w:val="00C05BEC"/>
    <w:rsid w:val="00C06AFB"/>
    <w:rsid w:val="00C06E7D"/>
    <w:rsid w:val="00C06E87"/>
    <w:rsid w:val="00C07B8D"/>
    <w:rsid w:val="00C07DE5"/>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38A5"/>
    <w:rsid w:val="00C448E4"/>
    <w:rsid w:val="00C44CDD"/>
    <w:rsid w:val="00C44F98"/>
    <w:rsid w:val="00C452F5"/>
    <w:rsid w:val="00C46555"/>
    <w:rsid w:val="00C46B15"/>
    <w:rsid w:val="00C46C74"/>
    <w:rsid w:val="00C46F7D"/>
    <w:rsid w:val="00C479B5"/>
    <w:rsid w:val="00C47B60"/>
    <w:rsid w:val="00C47BA1"/>
    <w:rsid w:val="00C50242"/>
    <w:rsid w:val="00C5034D"/>
    <w:rsid w:val="00C5050E"/>
    <w:rsid w:val="00C50E99"/>
    <w:rsid w:val="00C51890"/>
    <w:rsid w:val="00C52744"/>
    <w:rsid w:val="00C531EB"/>
    <w:rsid w:val="00C53ADE"/>
    <w:rsid w:val="00C53EB3"/>
    <w:rsid w:val="00C53FC9"/>
    <w:rsid w:val="00C542CA"/>
    <w:rsid w:val="00C542D4"/>
    <w:rsid w:val="00C54D71"/>
    <w:rsid w:val="00C55B01"/>
    <w:rsid w:val="00C563F5"/>
    <w:rsid w:val="00C56498"/>
    <w:rsid w:val="00C56D23"/>
    <w:rsid w:val="00C570F7"/>
    <w:rsid w:val="00C57D9C"/>
    <w:rsid w:val="00C6027B"/>
    <w:rsid w:val="00C6097A"/>
    <w:rsid w:val="00C60E61"/>
    <w:rsid w:val="00C61062"/>
    <w:rsid w:val="00C61799"/>
    <w:rsid w:val="00C623FE"/>
    <w:rsid w:val="00C62810"/>
    <w:rsid w:val="00C62BD4"/>
    <w:rsid w:val="00C62CD5"/>
    <w:rsid w:val="00C62FB9"/>
    <w:rsid w:val="00C636E6"/>
    <w:rsid w:val="00C639D6"/>
    <w:rsid w:val="00C63F16"/>
    <w:rsid w:val="00C63F3C"/>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494"/>
    <w:rsid w:val="00C90B92"/>
    <w:rsid w:val="00C913CA"/>
    <w:rsid w:val="00C91C13"/>
    <w:rsid w:val="00C91DE3"/>
    <w:rsid w:val="00C923AF"/>
    <w:rsid w:val="00C92C7F"/>
    <w:rsid w:val="00C9330E"/>
    <w:rsid w:val="00C9369D"/>
    <w:rsid w:val="00C939F4"/>
    <w:rsid w:val="00C93BB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26EC"/>
    <w:rsid w:val="00CB2C6D"/>
    <w:rsid w:val="00CB2D2A"/>
    <w:rsid w:val="00CB329A"/>
    <w:rsid w:val="00CB430F"/>
    <w:rsid w:val="00CB53F3"/>
    <w:rsid w:val="00CB5B1E"/>
    <w:rsid w:val="00CB66D4"/>
    <w:rsid w:val="00CB683C"/>
    <w:rsid w:val="00CB7346"/>
    <w:rsid w:val="00CB787A"/>
    <w:rsid w:val="00CB7B01"/>
    <w:rsid w:val="00CC0C4A"/>
    <w:rsid w:val="00CC0C7E"/>
    <w:rsid w:val="00CC17F0"/>
    <w:rsid w:val="00CC1853"/>
    <w:rsid w:val="00CC197A"/>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8AE"/>
    <w:rsid w:val="00CE7AD3"/>
    <w:rsid w:val="00CE7E62"/>
    <w:rsid w:val="00CF051E"/>
    <w:rsid w:val="00CF0FB3"/>
    <w:rsid w:val="00CF195E"/>
    <w:rsid w:val="00CF19DA"/>
    <w:rsid w:val="00CF1C7F"/>
    <w:rsid w:val="00CF1CC0"/>
    <w:rsid w:val="00CF24F8"/>
    <w:rsid w:val="00CF2589"/>
    <w:rsid w:val="00CF2653"/>
    <w:rsid w:val="00CF2AE5"/>
    <w:rsid w:val="00CF33FC"/>
    <w:rsid w:val="00CF4247"/>
    <w:rsid w:val="00CF4946"/>
    <w:rsid w:val="00CF5263"/>
    <w:rsid w:val="00CF589F"/>
    <w:rsid w:val="00CF60B5"/>
    <w:rsid w:val="00CF7133"/>
    <w:rsid w:val="00CF714B"/>
    <w:rsid w:val="00CF7EDC"/>
    <w:rsid w:val="00CF7FD3"/>
    <w:rsid w:val="00D003EE"/>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C14"/>
    <w:rsid w:val="00D13CBD"/>
    <w:rsid w:val="00D14236"/>
    <w:rsid w:val="00D14553"/>
    <w:rsid w:val="00D14DB1"/>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1EF"/>
    <w:rsid w:val="00D31749"/>
    <w:rsid w:val="00D31A02"/>
    <w:rsid w:val="00D3323C"/>
    <w:rsid w:val="00D33456"/>
    <w:rsid w:val="00D3396F"/>
    <w:rsid w:val="00D33D4D"/>
    <w:rsid w:val="00D34A0B"/>
    <w:rsid w:val="00D34A97"/>
    <w:rsid w:val="00D35513"/>
    <w:rsid w:val="00D36234"/>
    <w:rsid w:val="00D36354"/>
    <w:rsid w:val="00D3636B"/>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4ED1"/>
    <w:rsid w:val="00D45553"/>
    <w:rsid w:val="00D45DF3"/>
    <w:rsid w:val="00D46174"/>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4CA"/>
    <w:rsid w:val="00D63517"/>
    <w:rsid w:val="00D63B75"/>
    <w:rsid w:val="00D63B89"/>
    <w:rsid w:val="00D63F3C"/>
    <w:rsid w:val="00D644A4"/>
    <w:rsid w:val="00D648B6"/>
    <w:rsid w:val="00D64FD4"/>
    <w:rsid w:val="00D654E3"/>
    <w:rsid w:val="00D656EE"/>
    <w:rsid w:val="00D65725"/>
    <w:rsid w:val="00D6584E"/>
    <w:rsid w:val="00D659B1"/>
    <w:rsid w:val="00D66B82"/>
    <w:rsid w:val="00D66C78"/>
    <w:rsid w:val="00D66E18"/>
    <w:rsid w:val="00D6734D"/>
    <w:rsid w:val="00D673D1"/>
    <w:rsid w:val="00D67761"/>
    <w:rsid w:val="00D679CF"/>
    <w:rsid w:val="00D679D3"/>
    <w:rsid w:val="00D70CC3"/>
    <w:rsid w:val="00D71F46"/>
    <w:rsid w:val="00D71FE4"/>
    <w:rsid w:val="00D72CB6"/>
    <w:rsid w:val="00D72DA9"/>
    <w:rsid w:val="00D731FA"/>
    <w:rsid w:val="00D7356F"/>
    <w:rsid w:val="00D73587"/>
    <w:rsid w:val="00D7361F"/>
    <w:rsid w:val="00D73EBB"/>
    <w:rsid w:val="00D746C2"/>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B82"/>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3143"/>
    <w:rsid w:val="00DD3EF5"/>
    <w:rsid w:val="00DD4122"/>
    <w:rsid w:val="00DD463F"/>
    <w:rsid w:val="00DD4CC4"/>
    <w:rsid w:val="00DD53FA"/>
    <w:rsid w:val="00DD5594"/>
    <w:rsid w:val="00DD57F6"/>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30BF"/>
    <w:rsid w:val="00DF35CB"/>
    <w:rsid w:val="00DF37A5"/>
    <w:rsid w:val="00DF3ACF"/>
    <w:rsid w:val="00DF4398"/>
    <w:rsid w:val="00DF4572"/>
    <w:rsid w:val="00DF4658"/>
    <w:rsid w:val="00DF4D46"/>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441F"/>
    <w:rsid w:val="00E949DF"/>
    <w:rsid w:val="00E94D74"/>
    <w:rsid w:val="00E95BA6"/>
    <w:rsid w:val="00E9608F"/>
    <w:rsid w:val="00E9659E"/>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BE5"/>
    <w:rsid w:val="00EC2B6D"/>
    <w:rsid w:val="00EC2C3D"/>
    <w:rsid w:val="00EC2E2D"/>
    <w:rsid w:val="00EC3B9A"/>
    <w:rsid w:val="00EC3F5D"/>
    <w:rsid w:val="00EC460C"/>
    <w:rsid w:val="00EC462B"/>
    <w:rsid w:val="00EC4723"/>
    <w:rsid w:val="00EC4AA1"/>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684B"/>
    <w:rsid w:val="00ED6C2F"/>
    <w:rsid w:val="00ED70F1"/>
    <w:rsid w:val="00ED71C5"/>
    <w:rsid w:val="00ED79D3"/>
    <w:rsid w:val="00ED7B4E"/>
    <w:rsid w:val="00EE068B"/>
    <w:rsid w:val="00EE16FA"/>
    <w:rsid w:val="00EE1FEC"/>
    <w:rsid w:val="00EE2DB2"/>
    <w:rsid w:val="00EE2FCD"/>
    <w:rsid w:val="00EE33BF"/>
    <w:rsid w:val="00EE3C42"/>
    <w:rsid w:val="00EE3D4F"/>
    <w:rsid w:val="00EE4720"/>
    <w:rsid w:val="00EE534D"/>
    <w:rsid w:val="00EE5560"/>
    <w:rsid w:val="00EE5C3E"/>
    <w:rsid w:val="00EE65B6"/>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5BD"/>
    <w:rsid w:val="00F006B2"/>
    <w:rsid w:val="00F00F6F"/>
    <w:rsid w:val="00F0133C"/>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6DCF"/>
    <w:rsid w:val="00F57034"/>
    <w:rsid w:val="00F579DE"/>
    <w:rsid w:val="00F57B41"/>
    <w:rsid w:val="00F6056B"/>
    <w:rsid w:val="00F60BE9"/>
    <w:rsid w:val="00F61AE6"/>
    <w:rsid w:val="00F61FD8"/>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6CD7"/>
    <w:rsid w:val="00FA7ED9"/>
    <w:rsid w:val="00FB0082"/>
    <w:rsid w:val="00FB0169"/>
    <w:rsid w:val="00FB0243"/>
    <w:rsid w:val="00FB0B6D"/>
    <w:rsid w:val="00FB0F1A"/>
    <w:rsid w:val="00FB1527"/>
    <w:rsid w:val="00FB1805"/>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AD6"/>
    <w:rsid w:val="00FC160B"/>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04B60F47"/>
    <w:rsid w:val="0FFF9E90"/>
    <w:rsid w:val="18BD732B"/>
    <w:rsid w:val="1EE75C33"/>
    <w:rsid w:val="27AF8867"/>
    <w:rsid w:val="2F7F8F32"/>
    <w:rsid w:val="32FBEF00"/>
    <w:rsid w:val="35FE52FC"/>
    <w:rsid w:val="3EAD5DCC"/>
    <w:rsid w:val="3F5F1276"/>
    <w:rsid w:val="3FBF5C47"/>
    <w:rsid w:val="4A770C6B"/>
    <w:rsid w:val="4EFB4FC2"/>
    <w:rsid w:val="4EFD989B"/>
    <w:rsid w:val="4FEF1068"/>
    <w:rsid w:val="56B70A5B"/>
    <w:rsid w:val="5E63C0A4"/>
    <w:rsid w:val="5EDF30CD"/>
    <w:rsid w:val="5FEF969E"/>
    <w:rsid w:val="646FF25A"/>
    <w:rsid w:val="67CA3137"/>
    <w:rsid w:val="69EF65F7"/>
    <w:rsid w:val="6B7D8B2D"/>
    <w:rsid w:val="6B919357"/>
    <w:rsid w:val="6BEB4546"/>
    <w:rsid w:val="6DDB9695"/>
    <w:rsid w:val="6F5D686B"/>
    <w:rsid w:val="6F5F0334"/>
    <w:rsid w:val="776F9C1E"/>
    <w:rsid w:val="77FF955A"/>
    <w:rsid w:val="78EFFEA6"/>
    <w:rsid w:val="79BD2F68"/>
    <w:rsid w:val="7AB5147E"/>
    <w:rsid w:val="7BE268C5"/>
    <w:rsid w:val="7BE64E1D"/>
    <w:rsid w:val="7CFDF751"/>
    <w:rsid w:val="7D6FB1D9"/>
    <w:rsid w:val="7DF99625"/>
    <w:rsid w:val="7DFFF09B"/>
    <w:rsid w:val="7EAF1646"/>
    <w:rsid w:val="7EFE8599"/>
    <w:rsid w:val="7F6BB735"/>
    <w:rsid w:val="7F7D5A33"/>
    <w:rsid w:val="7FAC5D8F"/>
    <w:rsid w:val="7FBAC115"/>
    <w:rsid w:val="7FDF52DE"/>
    <w:rsid w:val="7FE7C4A0"/>
    <w:rsid w:val="7FF7F176"/>
    <w:rsid w:val="7FFD3CD2"/>
    <w:rsid w:val="7FFDE53D"/>
    <w:rsid w:val="7FFF2963"/>
    <w:rsid w:val="9BFF9EDC"/>
    <w:rsid w:val="9C79A976"/>
    <w:rsid w:val="A59F99B2"/>
    <w:rsid w:val="AFFF74E9"/>
    <w:rsid w:val="B5FDFA7E"/>
    <w:rsid w:val="B7F9E9B6"/>
    <w:rsid w:val="B95B893B"/>
    <w:rsid w:val="B95BCDE9"/>
    <w:rsid w:val="BA87642C"/>
    <w:rsid w:val="BF7F314D"/>
    <w:rsid w:val="BFECF4C8"/>
    <w:rsid w:val="BFFF0AC7"/>
    <w:rsid w:val="CFDF624D"/>
    <w:rsid w:val="CFF789DC"/>
    <w:rsid w:val="DDDE69D2"/>
    <w:rsid w:val="DEBE47D0"/>
    <w:rsid w:val="DFEF0CFC"/>
    <w:rsid w:val="E6FAD54D"/>
    <w:rsid w:val="EEFEEB67"/>
    <w:rsid w:val="EF372A3F"/>
    <w:rsid w:val="F5650583"/>
    <w:rsid w:val="F77DBD6F"/>
    <w:rsid w:val="F81C5CC1"/>
    <w:rsid w:val="FAFD4134"/>
    <w:rsid w:val="FBB7510E"/>
    <w:rsid w:val="FCE7953C"/>
    <w:rsid w:val="FCF5BA8E"/>
    <w:rsid w:val="FEA74BDE"/>
    <w:rsid w:val="FEEB1309"/>
    <w:rsid w:val="FEED01D2"/>
    <w:rsid w:val="FF1C119B"/>
    <w:rsid w:val="FF3F5CF9"/>
    <w:rsid w:val="FF75AD3D"/>
    <w:rsid w:val="FFB4975A"/>
    <w:rsid w:val="FFBFB47F"/>
    <w:rsid w:val="FFDB910C"/>
    <w:rsid w:val="FFF5B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iPriority="0" w:semiHidden="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9"/>
    <w:pPr>
      <w:keepNext/>
      <w:numPr>
        <w:ilvl w:val="0"/>
        <w:numId w:val="1"/>
      </w:numPr>
      <w:spacing w:before="120"/>
      <w:outlineLvl w:val="0"/>
    </w:pPr>
    <w:rPr>
      <w:b/>
      <w:bCs/>
      <w:sz w:val="28"/>
      <w:szCs w:val="28"/>
    </w:rPr>
  </w:style>
  <w:style w:type="paragraph" w:styleId="3">
    <w:name w:val="heading 2"/>
    <w:basedOn w:val="1"/>
    <w:next w:val="1"/>
    <w:qFormat/>
    <w:uiPriority w:val="9"/>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left" w:pos="432"/>
      </w:tabs>
      <w:spacing w:before="120"/>
      <w:outlineLvl w:val="2"/>
    </w:pPr>
    <w:rPr>
      <w:b/>
    </w:rPr>
  </w:style>
  <w:style w:type="paragraph" w:styleId="5">
    <w:name w:val="heading 4"/>
    <w:basedOn w:val="1"/>
    <w:next w:val="1"/>
    <w:qFormat/>
    <w:uiPriority w:val="9"/>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9"/>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9"/>
    <w:pPr>
      <w:numPr>
        <w:ilvl w:val="5"/>
        <w:numId w:val="1"/>
      </w:numPr>
      <w:spacing w:before="240" w:after="60"/>
      <w:outlineLvl w:val="5"/>
    </w:pPr>
    <w:rPr>
      <w:b/>
      <w:bCs/>
    </w:rPr>
  </w:style>
  <w:style w:type="paragraph" w:styleId="8">
    <w:name w:val="heading 7"/>
    <w:basedOn w:val="1"/>
    <w:next w:val="1"/>
    <w:qFormat/>
    <w:uiPriority w:val="9"/>
    <w:pPr>
      <w:numPr>
        <w:ilvl w:val="6"/>
        <w:numId w:val="1"/>
      </w:numPr>
      <w:spacing w:before="240" w:after="60"/>
      <w:outlineLvl w:val="6"/>
    </w:pPr>
    <w:rPr>
      <w:sz w:val="24"/>
      <w:szCs w:val="24"/>
    </w:rPr>
  </w:style>
  <w:style w:type="paragraph" w:styleId="9">
    <w:name w:val="heading 8"/>
    <w:basedOn w:val="1"/>
    <w:next w:val="1"/>
    <w:qFormat/>
    <w:uiPriority w:val="9"/>
    <w:pPr>
      <w:numPr>
        <w:ilvl w:val="7"/>
        <w:numId w:val="1"/>
      </w:numPr>
      <w:spacing w:before="240" w:after="60"/>
      <w:outlineLvl w:val="7"/>
    </w:pPr>
    <w:rPr>
      <w:i/>
      <w:iCs/>
      <w:sz w:val="24"/>
      <w:szCs w:val="24"/>
    </w:rPr>
  </w:style>
  <w:style w:type="paragraph" w:styleId="10">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semiHidden/>
    <w:unhideWhenUsed/>
    <w:uiPriority w:val="0"/>
    <w:pPr>
      <w:ind w:left="100" w:leftChars="400" w:hanging="200" w:hangingChars="200"/>
      <w:contextualSpacing/>
    </w:pPr>
  </w:style>
  <w:style w:type="paragraph" w:styleId="12">
    <w:name w:val="caption"/>
    <w:basedOn w:val="1"/>
    <w:next w:val="1"/>
    <w:link w:val="36"/>
    <w:qFormat/>
    <w:uiPriority w:val="0"/>
    <w:pPr>
      <w:jc w:val="center"/>
    </w:pPr>
    <w:rPr>
      <w:b/>
      <w:bCs/>
      <w:sz w:val="20"/>
      <w:szCs w:val="20"/>
    </w:rPr>
  </w:style>
  <w:style w:type="paragraph" w:styleId="13">
    <w:name w:val="List Bullet"/>
    <w:basedOn w:val="14"/>
    <w:uiPriority w:val="0"/>
    <w:pPr>
      <w:autoSpaceDE/>
      <w:autoSpaceDN/>
      <w:adjustRightInd/>
      <w:spacing w:after="180"/>
      <w:ind w:left="568" w:hanging="284"/>
      <w:jc w:val="left"/>
    </w:pPr>
    <w:rPr>
      <w:sz w:val="20"/>
      <w:szCs w:val="20"/>
      <w:lang w:val="en-GB"/>
    </w:rPr>
  </w:style>
  <w:style w:type="paragraph" w:styleId="14">
    <w:name w:val="List"/>
    <w:basedOn w:val="1"/>
    <w:uiPriority w:val="0"/>
    <w:pPr>
      <w:ind w:left="360" w:hanging="360"/>
    </w:pPr>
  </w:style>
  <w:style w:type="paragraph" w:styleId="15">
    <w:name w:val="annotation text"/>
    <w:basedOn w:val="1"/>
    <w:link w:val="52"/>
    <w:unhideWhenUsed/>
    <w:qFormat/>
    <w:uiPriority w:val="0"/>
    <w:pPr>
      <w:jc w:val="left"/>
    </w:pPr>
  </w:style>
  <w:style w:type="paragraph" w:styleId="16">
    <w:name w:val="List Bullet 3"/>
    <w:basedOn w:val="1"/>
    <w:uiPriority w:val="0"/>
    <w:pPr>
      <w:numPr>
        <w:ilvl w:val="0"/>
        <w:numId w:val="2"/>
      </w:numPr>
      <w:autoSpaceDE/>
      <w:autoSpaceDN/>
      <w:adjustRightInd/>
      <w:snapToGrid/>
      <w:spacing w:after="240"/>
      <w:jc w:val="left"/>
    </w:pPr>
    <w:rPr>
      <w:rFonts w:eastAsia="Times New Roman"/>
      <w:sz w:val="24"/>
      <w:szCs w:val="24"/>
      <w:lang w:val="zh-CN" w:eastAsia="zh-CN"/>
    </w:rPr>
  </w:style>
  <w:style w:type="paragraph" w:styleId="17">
    <w:name w:val="Body Text"/>
    <w:basedOn w:val="1"/>
    <w:link w:val="35"/>
    <w:uiPriority w:val="0"/>
    <w:rPr>
      <w:sz w:val="20"/>
      <w:szCs w:val="20"/>
    </w:rPr>
  </w:style>
  <w:style w:type="paragraph" w:styleId="18">
    <w:name w:val="List 2"/>
    <w:basedOn w:val="1"/>
    <w:semiHidden/>
    <w:unhideWhenUsed/>
    <w:uiPriority w:val="0"/>
    <w:pPr>
      <w:ind w:left="100" w:leftChars="200" w:hanging="200" w:hangingChars="200"/>
      <w:contextualSpacing/>
    </w:pPr>
  </w:style>
  <w:style w:type="paragraph" w:styleId="19">
    <w:name w:val="List Bullet 2"/>
    <w:basedOn w:val="1"/>
    <w:uiPriority w:val="0"/>
    <w:pPr>
      <w:numPr>
        <w:ilvl w:val="0"/>
        <w:numId w:val="3"/>
      </w:numPr>
      <w:autoSpaceDE/>
      <w:autoSpaceDN/>
      <w:adjustRightInd/>
      <w:snapToGrid/>
      <w:spacing w:after="240"/>
      <w:jc w:val="left"/>
    </w:pPr>
    <w:rPr>
      <w:rFonts w:eastAsia="Times New Roman"/>
      <w:sz w:val="24"/>
      <w:szCs w:val="24"/>
      <w:lang w:val="zh-CN" w:eastAsia="zh-CN"/>
    </w:rPr>
  </w:style>
  <w:style w:type="paragraph" w:styleId="20">
    <w:name w:val="Balloon Text"/>
    <w:basedOn w:val="1"/>
    <w:semiHidden/>
    <w:uiPriority w:val="0"/>
    <w:rPr>
      <w:rFonts w:ascii="Tahoma" w:hAnsi="Tahoma" w:cs="Tahoma"/>
      <w:sz w:val="16"/>
      <w:szCs w:val="16"/>
    </w:rPr>
  </w:style>
  <w:style w:type="paragraph" w:styleId="21">
    <w:name w:val="footer"/>
    <w:basedOn w:val="1"/>
    <w:link w:val="43"/>
    <w:uiPriority w:val="99"/>
    <w:pPr>
      <w:tabs>
        <w:tab w:val="center" w:pos="4680"/>
        <w:tab w:val="right" w:pos="9360"/>
      </w:tabs>
    </w:pPr>
  </w:style>
  <w:style w:type="paragraph" w:styleId="22">
    <w:name w:val="header"/>
    <w:basedOn w:val="1"/>
    <w:link w:val="42"/>
    <w:qFormat/>
    <w:uiPriority w:val="0"/>
    <w:pPr>
      <w:tabs>
        <w:tab w:val="center" w:pos="4680"/>
        <w:tab w:val="right" w:pos="9360"/>
      </w:tabs>
    </w:pPr>
  </w:style>
  <w:style w:type="paragraph" w:styleId="23">
    <w:name w:val="footnote text"/>
    <w:basedOn w:val="1"/>
    <w:semiHidden/>
    <w:uiPriority w:val="0"/>
    <w:rPr>
      <w:sz w:val="20"/>
      <w:szCs w:val="20"/>
    </w:rPr>
  </w:style>
  <w:style w:type="paragraph" w:styleId="24">
    <w:name w:val="Body Text 2"/>
    <w:basedOn w:val="1"/>
    <w:uiPriority w:val="0"/>
    <w:pPr>
      <w:spacing w:after="0"/>
      <w:jc w:val="left"/>
    </w:pPr>
    <w:rPr>
      <w:szCs w:val="20"/>
    </w:rPr>
  </w:style>
  <w:style w:type="paragraph" w:styleId="25">
    <w:name w:val="Normal (Web)"/>
    <w:basedOn w:val="1"/>
    <w:unhideWhenUsed/>
    <w:uiPriority w:val="99"/>
    <w:pPr>
      <w:autoSpaceDE/>
      <w:autoSpaceDN/>
      <w:adjustRightInd/>
      <w:snapToGrid/>
      <w:spacing w:before="100" w:beforeAutospacing="1" w:after="100" w:afterAutospacing="1"/>
      <w:jc w:val="left"/>
    </w:pPr>
    <w:rPr>
      <w:rFonts w:eastAsia="Times New Roman"/>
      <w:sz w:val="24"/>
      <w:szCs w:val="24"/>
    </w:rPr>
  </w:style>
  <w:style w:type="paragraph" w:styleId="26">
    <w:name w:val="annotation subject"/>
    <w:basedOn w:val="15"/>
    <w:next w:val="15"/>
    <w:link w:val="53"/>
    <w:semiHidden/>
    <w:unhideWhenUsed/>
    <w:uiPriority w:val="0"/>
    <w:rPr>
      <w:b/>
      <w:bCs/>
    </w:rPr>
  </w:style>
  <w:style w:type="table" w:styleId="28">
    <w:name w:val="Table Grid"/>
    <w:basedOn w:val="27"/>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basedOn w:val="29"/>
    <w:uiPriority w:val="0"/>
    <w:rPr>
      <w:color w:val="800080"/>
      <w:u w:val="single"/>
    </w:rPr>
  </w:style>
  <w:style w:type="character" w:styleId="31">
    <w:name w:val="Hyperlink"/>
    <w:basedOn w:val="32"/>
    <w:uiPriority w:val="99"/>
    <w:rPr>
      <w:color w:val="0000FF"/>
      <w:u w:val="single"/>
    </w:rPr>
  </w:style>
  <w:style w:type="character" w:customStyle="1" w:styleId="32">
    <w:name w:val="Body Text Char"/>
    <w:basedOn w:val="29"/>
    <w:link w:val="17"/>
    <w:uiPriority w:val="0"/>
  </w:style>
  <w:style w:type="character" w:styleId="33">
    <w:name w:val="annotation reference"/>
    <w:basedOn w:val="29"/>
    <w:unhideWhenUsed/>
    <w:qFormat/>
    <w:uiPriority w:val="0"/>
    <w:rPr>
      <w:sz w:val="21"/>
      <w:szCs w:val="21"/>
    </w:rPr>
  </w:style>
  <w:style w:type="character" w:styleId="34">
    <w:name w:val="footnote reference"/>
    <w:basedOn w:val="29"/>
    <w:semiHidden/>
    <w:uiPriority w:val="0"/>
    <w:rPr>
      <w:vertAlign w:val="superscript"/>
    </w:rPr>
  </w:style>
  <w:style w:type="character" w:customStyle="1" w:styleId="35">
    <w:name w:val="正文文本 字符"/>
    <w:basedOn w:val="29"/>
    <w:link w:val="17"/>
    <w:uiPriority w:val="0"/>
  </w:style>
  <w:style w:type="character" w:customStyle="1" w:styleId="36">
    <w:name w:val="题注 字符"/>
    <w:basedOn w:val="29"/>
    <w:link w:val="12"/>
    <w:uiPriority w:val="0"/>
    <w:rPr>
      <w:b/>
      <w:bCs/>
    </w:rPr>
  </w:style>
  <w:style w:type="paragraph" w:customStyle="1" w:styleId="37">
    <w:name w:val="References"/>
    <w:basedOn w:val="1"/>
    <w:uiPriority w:val="0"/>
    <w:pPr>
      <w:numPr>
        <w:ilvl w:val="0"/>
        <w:numId w:val="4"/>
      </w:numPr>
      <w:adjustRightInd/>
      <w:spacing w:after="60"/>
    </w:pPr>
    <w:rPr>
      <w:sz w:val="20"/>
      <w:szCs w:val="16"/>
    </w:rPr>
  </w:style>
  <w:style w:type="paragraph" w:customStyle="1" w:styleId="38">
    <w:name w:val="_Style 26"/>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0"/>
    <w:pPr>
      <w:keepNext/>
      <w:jc w:val="center"/>
    </w:pPr>
  </w:style>
  <w:style w:type="paragraph" w:customStyle="1" w:styleId="40">
    <w:name w:val="Eqn"/>
    <w:basedOn w:val="1"/>
    <w:qFormat/>
    <w:uiPriority w:val="0"/>
    <w:pPr>
      <w:tabs>
        <w:tab w:val="center" w:pos="4608"/>
        <w:tab w:val="right" w:pos="9216"/>
      </w:tabs>
    </w:pPr>
    <w:rPr>
      <w:lang w:eastAsia="ja-JP"/>
    </w:rPr>
  </w:style>
  <w:style w:type="paragraph" w:customStyle="1" w:styleId="41">
    <w:name w:val="tablecell"/>
    <w:basedOn w:val="1"/>
    <w:qFormat/>
    <w:uiPriority w:val="0"/>
    <w:pPr>
      <w:spacing w:before="20" w:after="20"/>
      <w:jc w:val="left"/>
    </w:pPr>
  </w:style>
  <w:style w:type="character" w:customStyle="1" w:styleId="42">
    <w:name w:val="页眉 字符"/>
    <w:basedOn w:val="29"/>
    <w:link w:val="22"/>
    <w:qFormat/>
    <w:uiPriority w:val="0"/>
    <w:rPr>
      <w:sz w:val="22"/>
      <w:szCs w:val="22"/>
    </w:rPr>
  </w:style>
  <w:style w:type="character" w:customStyle="1" w:styleId="43">
    <w:name w:val="页脚 字符"/>
    <w:basedOn w:val="29"/>
    <w:link w:val="21"/>
    <w:uiPriority w:val="99"/>
    <w:rPr>
      <w:sz w:val="22"/>
      <w:szCs w:val="22"/>
    </w:rPr>
  </w:style>
  <w:style w:type="paragraph" w:customStyle="1" w:styleId="44">
    <w:name w:val="tablecol"/>
    <w:basedOn w:val="41"/>
    <w:qFormat/>
    <w:uiPriority w:val="0"/>
    <w:pPr>
      <w:jc w:val="center"/>
    </w:pPr>
    <w:rPr>
      <w:b/>
    </w:rPr>
  </w:style>
  <w:style w:type="paragraph" w:customStyle="1" w:styleId="45">
    <w:name w:val="B1"/>
    <w:basedOn w:val="14"/>
    <w:link w:val="56"/>
    <w:qFormat/>
    <w:uiPriority w:val="0"/>
    <w:pPr>
      <w:overflowPunct w:val="0"/>
      <w:snapToGrid/>
      <w:spacing w:after="180"/>
      <w:ind w:left="568" w:hanging="284"/>
      <w:jc w:val="left"/>
      <w:textAlignment w:val="baseline"/>
    </w:pPr>
    <w:rPr>
      <w:rFonts w:eastAsia="MS Mincho"/>
      <w:sz w:val="20"/>
      <w:szCs w:val="20"/>
      <w:lang w:val="en-GB"/>
    </w:rPr>
  </w:style>
  <w:style w:type="paragraph" w:customStyle="1" w:styleId="46">
    <w:name w:val="B2"/>
    <w:basedOn w:val="18"/>
    <w:uiPriority w:val="99"/>
    <w:pPr>
      <w:overflowPunct w:val="0"/>
      <w:snapToGrid/>
      <w:spacing w:after="180"/>
      <w:ind w:left="851" w:leftChars="0" w:hanging="284" w:firstLineChars="0"/>
      <w:contextualSpacing w:val="0"/>
      <w:jc w:val="left"/>
      <w:textAlignment w:val="baseline"/>
    </w:pPr>
    <w:rPr>
      <w:rFonts w:eastAsia="MS Mincho"/>
      <w:sz w:val="20"/>
      <w:szCs w:val="20"/>
      <w:lang w:val="en-GB"/>
    </w:rPr>
  </w:style>
  <w:style w:type="paragraph" w:customStyle="1" w:styleId="47">
    <w:name w:val="B3"/>
    <w:basedOn w:val="11"/>
    <w:uiPriority w:val="0"/>
    <w:pPr>
      <w:overflowPunct w:val="0"/>
      <w:snapToGrid/>
      <w:spacing w:after="180"/>
      <w:ind w:left="1135" w:leftChars="0" w:hanging="284" w:firstLineChars="0"/>
      <w:contextualSpacing w:val="0"/>
      <w:jc w:val="left"/>
      <w:textAlignment w:val="baseline"/>
    </w:pPr>
    <w:rPr>
      <w:rFonts w:eastAsia="MS Mincho"/>
      <w:sz w:val="20"/>
      <w:szCs w:val="20"/>
      <w:lang w:val="en-GB"/>
    </w:rPr>
  </w:style>
  <w:style w:type="paragraph" w:styleId="48">
    <w:name w:val="List Paragraph"/>
    <w:basedOn w:val="1"/>
    <w:link w:val="49"/>
    <w:qFormat/>
    <w:uiPriority w:val="99"/>
    <w:pPr>
      <w:autoSpaceDE/>
      <w:autoSpaceDN/>
      <w:adjustRightInd/>
      <w:snapToGrid/>
      <w:spacing w:after="0"/>
      <w:ind w:firstLine="420"/>
      <w:jc w:val="left"/>
    </w:pPr>
    <w:rPr>
      <w:rFonts w:ascii="宋体" w:hAnsi="宋体"/>
      <w:sz w:val="24"/>
      <w:szCs w:val="24"/>
    </w:rPr>
  </w:style>
  <w:style w:type="character" w:customStyle="1" w:styleId="49">
    <w:name w:val="列表段落 字符"/>
    <w:link w:val="48"/>
    <w:qFormat/>
    <w:uiPriority w:val="34"/>
    <w:rPr>
      <w:rFonts w:ascii="宋体" w:hAnsi="宋体"/>
      <w:sz w:val="24"/>
      <w:szCs w:val="24"/>
    </w:rPr>
  </w:style>
  <w:style w:type="paragraph" w:customStyle="1" w:styleId="50">
    <w:name w:val="text intend 3"/>
    <w:basedOn w:val="1"/>
    <w:uiPriority w:val="0"/>
    <w:pPr>
      <w:numPr>
        <w:ilvl w:val="0"/>
        <w:numId w:val="5"/>
      </w:numPr>
      <w:overflowPunct w:val="0"/>
      <w:snapToGrid/>
      <w:textAlignment w:val="baseline"/>
    </w:pPr>
    <w:rPr>
      <w:rFonts w:eastAsia="MS Mincho"/>
      <w:sz w:val="24"/>
      <w:szCs w:val="20"/>
      <w:lang w:eastAsia="en-GB"/>
    </w:rPr>
  </w:style>
  <w:style w:type="paragraph" w:customStyle="1" w:styleId="51">
    <w:name w:val="목록 단락1"/>
    <w:basedOn w:val="1"/>
    <w:qFormat/>
    <w:uiPriority w:val="34"/>
    <w:pPr>
      <w:autoSpaceDE/>
      <w:autoSpaceDN/>
      <w:adjustRightInd/>
      <w:spacing w:after="100" w:afterAutospacing="1" w:line="259" w:lineRule="auto"/>
      <w:ind w:left="840" w:leftChars="400"/>
    </w:pPr>
    <w:rPr>
      <w:rFonts w:eastAsia="MS Gothic"/>
      <w:sz w:val="24"/>
      <w:szCs w:val="20"/>
      <w:lang w:val="en-GB" w:eastAsia="ja-JP"/>
    </w:rPr>
  </w:style>
  <w:style w:type="character" w:customStyle="1" w:styleId="52">
    <w:name w:val="批注文字 字符"/>
    <w:basedOn w:val="29"/>
    <w:link w:val="15"/>
    <w:qFormat/>
    <w:uiPriority w:val="0"/>
    <w:rPr>
      <w:sz w:val="22"/>
      <w:szCs w:val="22"/>
    </w:rPr>
  </w:style>
  <w:style w:type="character" w:customStyle="1" w:styleId="53">
    <w:name w:val="批注主题 字符"/>
    <w:basedOn w:val="52"/>
    <w:link w:val="26"/>
    <w:semiHidden/>
    <w:uiPriority w:val="0"/>
    <w:rPr>
      <w:b/>
      <w:bCs/>
      <w:sz w:val="22"/>
      <w:szCs w:val="22"/>
    </w:rPr>
  </w:style>
  <w:style w:type="paragraph" w:customStyle="1" w:styleId="54">
    <w:name w:val="修订1"/>
    <w:hidden/>
    <w:semiHidden/>
    <w:uiPriority w:val="99"/>
    <w:rPr>
      <w:rFonts w:ascii="Times New Roman" w:hAnsi="Times New Roman" w:eastAsia="宋体" w:cs="Times New Roman"/>
      <w:sz w:val="22"/>
      <w:szCs w:val="22"/>
      <w:lang w:val="en-US" w:eastAsia="en-US" w:bidi="ar-SA"/>
    </w:rPr>
  </w:style>
  <w:style w:type="character" w:customStyle="1" w:styleId="55">
    <w:name w:val="apple-style-span"/>
    <w:basedOn w:val="29"/>
    <w:uiPriority w:val="0"/>
  </w:style>
  <w:style w:type="character" w:customStyle="1" w:styleId="56">
    <w:name w:val="B1 Char1"/>
    <w:link w:val="45"/>
    <w:qFormat/>
    <w:uiPriority w:val="0"/>
    <w:rPr>
      <w:rFonts w:eastAsia="MS Mincho"/>
      <w:lang w:val="en-GB"/>
    </w:rPr>
  </w:style>
  <w:style w:type="character" w:customStyle="1" w:styleId="57">
    <w:name w:val="Caption Char1"/>
    <w:uiPriority w:val="0"/>
    <w:rPr>
      <w:rFonts w:eastAsia="宋体" w:cs="Times New Roman"/>
      <w:b/>
      <w:bCs/>
      <w:sz w:val="20"/>
      <w:szCs w:val="20"/>
      <w:lang w:val="en-GB" w:eastAsia="zh-CN"/>
    </w:rPr>
  </w:style>
  <w:style w:type="paragraph" w:customStyle="1" w:styleId="58">
    <w:name w:val="PL"/>
    <w:link w:val="5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59">
    <w:name w:val="PL Char"/>
    <w:link w:val="58"/>
    <w:qFormat/>
    <w:uiPriority w:val="0"/>
    <w:rPr>
      <w:rFonts w:ascii="Courier New" w:hAnsi="Courier New" w:eastAsia="Times New Roman"/>
      <w:sz w:val="16"/>
      <w:lang w:val="en-GB" w:eastAsia="ja-JP"/>
    </w:rPr>
  </w:style>
  <w:style w:type="paragraph" w:customStyle="1" w:styleId="60">
    <w:name w:val="3GPP Text"/>
    <w:basedOn w:val="1"/>
    <w:link w:val="61"/>
    <w:qFormat/>
    <w:uiPriority w:val="0"/>
    <w:pPr>
      <w:overflowPunct w:val="0"/>
      <w:snapToGrid/>
      <w:spacing w:before="120"/>
      <w:textAlignment w:val="baseline"/>
    </w:pPr>
    <w:rPr>
      <w:szCs w:val="20"/>
    </w:rPr>
  </w:style>
  <w:style w:type="character" w:customStyle="1" w:styleId="61">
    <w:name w:val="3GPP Text Char"/>
    <w:link w:val="60"/>
    <w:qFormat/>
    <w:uiPriority w:val="0"/>
    <w:rPr>
      <w:sz w:val="22"/>
    </w:rPr>
  </w:style>
  <w:style w:type="paragraph" w:customStyle="1" w:styleId="62">
    <w:name w:val="Tdoc_Header_2"/>
    <w:basedOn w:val="1"/>
    <w:qFormat/>
    <w:uiPriority w:val="0"/>
    <w:pPr>
      <w:widowControl w:val="0"/>
      <w:tabs>
        <w:tab w:val="left" w:pos="1701"/>
        <w:tab w:val="right" w:pos="9072"/>
        <w:tab w:val="right" w:pos="10206"/>
      </w:tabs>
      <w:autoSpaceDE/>
      <w:autoSpaceDN/>
      <w:adjustRightInd/>
      <w:snapToGrid/>
      <w:spacing w:after="0"/>
    </w:pPr>
    <w:rPr>
      <w:rFonts w:ascii="Arial" w:hAnsi="Arial" w:eastAsia="Batang"/>
      <w:b/>
      <w:sz w:val="18"/>
      <w:szCs w:val="20"/>
      <w:lang w:val="en-GB"/>
    </w:rPr>
  </w:style>
  <w:style w:type="paragraph" w:customStyle="1" w:styleId="63">
    <w:name w:val="3GPP_Header"/>
    <w:basedOn w:val="1"/>
    <w:qFormat/>
    <w:uiPriority w:val="0"/>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64">
    <w:name w:val="apple-converted-space"/>
    <w:qFormat/>
    <w:uiPriority w:val="0"/>
  </w:style>
  <w:style w:type="paragraph" w:customStyle="1" w:styleId="65">
    <w:name w:val="text intend 1"/>
    <w:basedOn w:val="1"/>
    <w:uiPriority w:val="0"/>
    <w:pPr>
      <w:numPr>
        <w:ilvl w:val="0"/>
        <w:numId w:val="6"/>
      </w:numPr>
      <w:overflowPunct w:val="0"/>
      <w:snapToGrid/>
      <w:textAlignment w:val="baseline"/>
    </w:pPr>
    <w:rPr>
      <w:rFonts w:ascii="Calibri" w:hAnsi="Calibri" w:eastAsia="MS Mincho" w:cs="Calibri"/>
      <w:szCs w:val="20"/>
      <w:lang w:val="fi-FI" w:eastAsia="fi-FI"/>
    </w:rPr>
  </w:style>
  <w:style w:type="character" w:styleId="66">
    <w:name w:val="Placeholder Text"/>
    <w:basedOn w:val="29"/>
    <w:semiHidden/>
    <w:uiPriority w:val="99"/>
    <w:rPr>
      <w:color w:val="666666"/>
    </w:rPr>
  </w:style>
  <w:style w:type="paragraph" w:customStyle="1" w:styleId="67">
    <w:name w:val="Doc-text2"/>
    <w:basedOn w:val="1"/>
    <w:link w:val="68"/>
    <w:qFormat/>
    <w:uiPriority w:val="0"/>
    <w:pPr>
      <w:tabs>
        <w:tab w:val="left" w:pos="1622"/>
      </w:tabs>
      <w:overflowPunct w:val="0"/>
      <w:snapToGrid/>
      <w:spacing w:after="0"/>
      <w:ind w:left="1622" w:hanging="363"/>
      <w:jc w:val="left"/>
      <w:textAlignment w:val="baseline"/>
    </w:pPr>
    <w:rPr>
      <w:rFonts w:ascii="Arial" w:hAnsi="Arial" w:eastAsia="Times New Roman"/>
      <w:sz w:val="20"/>
      <w:szCs w:val="20"/>
      <w:lang w:val="en-GB" w:eastAsia="ja-JP"/>
    </w:rPr>
  </w:style>
  <w:style w:type="character" w:customStyle="1" w:styleId="68">
    <w:name w:val="Doc-text2 Char"/>
    <w:link w:val="67"/>
    <w:qFormat/>
    <w:uiPriority w:val="0"/>
    <w:rPr>
      <w:rFonts w:ascii="Arial" w:hAnsi="Arial" w:eastAsia="Times New Roman"/>
      <w:lang w:val="en-GB" w:eastAsia="ja-JP"/>
    </w:rPr>
  </w:style>
  <w:style w:type="character" w:customStyle="1" w:styleId="69">
    <w:name w:val="列表段落 字符3"/>
    <w:qFormat/>
    <w:locked/>
    <w:uiPriority w:val="34"/>
    <w:rPr>
      <w:rFonts w:eastAsia="宋体"/>
      <w:lang w:eastAsia="ja-JP"/>
    </w:rPr>
  </w:style>
  <w:style w:type="paragraph" w:customStyle="1" w:styleId="70">
    <w:name w:val="Statement Body"/>
    <w:basedOn w:val="1"/>
    <w:qFormat/>
    <w:uiPriority w:val="0"/>
    <w:pPr>
      <w:numPr>
        <w:ilvl w:val="0"/>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71">
    <w:name w:val="修订2"/>
    <w:hidden/>
    <w:unhideWhenUsed/>
    <w:uiPriority w:val="99"/>
    <w:rPr>
      <w:rFonts w:ascii="Times New Roman" w:hAnsi="Times New Roman" w:eastAsia="宋体" w:cs="Times New Roman"/>
      <w:sz w:val="22"/>
      <w:szCs w:val="22"/>
      <w:lang w:val="en-US" w:eastAsia="en-US" w:bidi="ar-SA"/>
    </w:rPr>
  </w:style>
  <w:style w:type="character" w:customStyle="1" w:styleId="72">
    <w:name w:val="列表段落 字符4"/>
    <w:qFormat/>
    <w:locked/>
    <w:uiPriority w:val="34"/>
    <w:rPr>
      <w:rFonts w:eastAsia="宋体"/>
      <w:lang w:eastAsia="ja-JP"/>
    </w:rPr>
  </w:style>
  <w:style w:type="paragraph" w:customStyle="1" w:styleId="73">
    <w:name w:val="TAL"/>
    <w:basedOn w:val="1"/>
    <w:link w:val="78"/>
    <w:qFormat/>
    <w:uiPriority w:val="0"/>
    <w:pPr>
      <w:keepNext/>
      <w:keepLines/>
      <w:autoSpaceDE/>
      <w:autoSpaceDN/>
      <w:adjustRightInd/>
      <w:snapToGrid/>
      <w:spacing w:after="0"/>
      <w:jc w:val="left"/>
    </w:pPr>
    <w:rPr>
      <w:rFonts w:ascii="Arial" w:hAnsi="Arial" w:eastAsiaTheme="minorEastAsia"/>
      <w:sz w:val="18"/>
      <w:szCs w:val="20"/>
      <w:lang w:val="en-GB"/>
    </w:rPr>
  </w:style>
  <w:style w:type="paragraph" w:customStyle="1" w:styleId="74">
    <w:name w:val="TAH"/>
    <w:basedOn w:val="75"/>
    <w:link w:val="77"/>
    <w:qFormat/>
    <w:uiPriority w:val="0"/>
    <w:rPr>
      <w:b/>
    </w:rPr>
  </w:style>
  <w:style w:type="paragraph" w:customStyle="1" w:styleId="75">
    <w:name w:val="TAC"/>
    <w:basedOn w:val="73"/>
    <w:link w:val="79"/>
    <w:qFormat/>
    <w:uiPriority w:val="0"/>
    <w:pPr>
      <w:jc w:val="center"/>
    </w:pPr>
  </w:style>
  <w:style w:type="paragraph" w:customStyle="1" w:styleId="76">
    <w:name w:val="TAN"/>
    <w:basedOn w:val="73"/>
    <w:qFormat/>
    <w:uiPriority w:val="0"/>
    <w:pPr>
      <w:ind w:left="851" w:hanging="851"/>
    </w:pPr>
  </w:style>
  <w:style w:type="character" w:customStyle="1" w:styleId="77">
    <w:name w:val="TAH Car"/>
    <w:link w:val="74"/>
    <w:qFormat/>
    <w:uiPriority w:val="0"/>
    <w:rPr>
      <w:rFonts w:ascii="Arial" w:hAnsi="Arial" w:eastAsiaTheme="minorEastAsia"/>
      <w:b/>
      <w:sz w:val="18"/>
      <w:lang w:val="en-GB" w:eastAsia="en-US"/>
    </w:rPr>
  </w:style>
  <w:style w:type="character" w:customStyle="1" w:styleId="78">
    <w:name w:val="TAL Char"/>
    <w:link w:val="73"/>
    <w:qFormat/>
    <w:locked/>
    <w:uiPriority w:val="0"/>
    <w:rPr>
      <w:rFonts w:ascii="Arial" w:hAnsi="Arial" w:eastAsiaTheme="minorEastAsia"/>
      <w:sz w:val="18"/>
      <w:lang w:val="en-GB" w:eastAsia="en-US"/>
    </w:rPr>
  </w:style>
  <w:style w:type="character" w:customStyle="1" w:styleId="79">
    <w:name w:val="TAC Char"/>
    <w:link w:val="75"/>
    <w:qFormat/>
    <w:uiPriority w:val="0"/>
    <w:rPr>
      <w:rFonts w:ascii="Arial" w:hAnsi="Arial" w:eastAsiaTheme="minorEastAsia"/>
      <w:sz w:val="18"/>
      <w:lang w:val="en-GB" w:eastAsia="en-US"/>
    </w:rPr>
  </w:style>
  <w:style w:type="character" w:customStyle="1" w:styleId="80">
    <w:name w:val="未处理的提及1"/>
    <w:basedOn w:val="29"/>
    <w:semiHidden/>
    <w:unhideWhenUsed/>
    <w:uiPriority w:val="99"/>
    <w:rPr>
      <w:color w:val="605E5C"/>
      <w:shd w:val="clear" w:color="auto" w:fill="E1DFDD"/>
    </w:rPr>
  </w:style>
  <w:style w:type="paragraph" w:customStyle="1" w:styleId="81">
    <w:name w:val="修订3"/>
    <w:hidden/>
    <w:unhideWhenUsed/>
    <w:uiPriority w:val="99"/>
    <w:rPr>
      <w:rFonts w:ascii="Times New Roman" w:hAnsi="Times New Roman" w:eastAsia="宋体" w:cs="Times New Roman"/>
      <w:sz w:val="22"/>
      <w:szCs w:val="22"/>
      <w:lang w:val="en-US" w:eastAsia="en-US" w:bidi="ar-SA"/>
    </w:rPr>
  </w:style>
  <w:style w:type="paragraph" w:customStyle="1" w:styleId="82">
    <w:name w:val="修订4"/>
    <w:hidden/>
    <w:unhideWhenUsed/>
    <w:uiPriority w:val="99"/>
    <w:rPr>
      <w:rFonts w:ascii="Times New Roman" w:hAnsi="Times New Roman" w:eastAsia="宋体" w:cs="Times New Roman"/>
      <w:sz w:val="22"/>
      <w:szCs w:val="22"/>
      <w:lang w:val="en-US" w:eastAsia="en-US" w:bidi="ar-SA"/>
    </w:rPr>
  </w:style>
  <w:style w:type="paragraph" w:customStyle="1" w:styleId="83">
    <w:name w:val="First Paragraph"/>
    <w:basedOn w:val="17"/>
    <w:next w:val="17"/>
    <w:qFormat/>
    <w:uiPriority w:val="0"/>
  </w:style>
  <w:style w:type="paragraph" w:customStyle="1" w:styleId="84">
    <w:name w:val="Compact"/>
    <w:basedOn w:val="17"/>
    <w:qFormat/>
    <w:uiPriority w:val="0"/>
    <w:pPr>
      <w:spacing w:before="36" w:after="36"/>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extobjs>
    <extobj name="334E55B0-647D-440b-865C-3EC943EB4CBC-1">
      <extobjdata type="334E55B0-647D-440b-865C-3EC943EB4CBC" data="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"/>
    </extobj>
    <extobj name="334E55B0-647D-440b-865C-3EC943EB4CBC-2">
      <extobjdata type="334E55B0-647D-440b-865C-3EC943EB4CBC" data="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"/>
    </extobj>
    <extobj name="334E55B0-647D-440b-865C-3EC943EB4CBC-3">
      <extobjdata type="334E55B0-647D-440b-865C-3EC943EB4CBC" data="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"/>
    </extobj>
    <extobj name="334E55B0-647D-440b-865C-3EC943EB4CBC-4">
      <extobjdata type="334E55B0-647D-440b-865C-3EC943EB4CBC" data="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"/>
    </extobj>
    <extobj name="334E55B0-647D-440b-865C-3EC943EB4CBC-5">
      <extobjdata type="334E55B0-647D-440b-865C-3EC943EB4CBC" data="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"/>
    </extobj>
    <extobj name="334E55B0-647D-440b-865C-3EC943EB4CBC-6">
      <extobjdata type="334E55B0-647D-440b-865C-3EC943EB4CBC" data="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"/>
    </extobj>
  </extobj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14</Pages>
  <Words>4695</Words>
  <Characters>25400</Characters>
  <Lines>445</Lines>
  <Paragraphs>278</Paragraphs>
  <TotalTime>6</TotalTime>
  <ScaleCrop>false</ScaleCrop>
  <LinksUpToDate>false</LinksUpToDate>
  <CharactersWithSpaces>29817</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2024-05-10T18:32:00Z</dcterms:created>
  <dc:creator>Brian Classon</dc:creator>
  <cp:lastModifiedBy>简荣灵</cp:lastModifiedBy>
  <cp:lastPrinted>2007-06-21T14:08:00Z</cp:lastPrinted>
  <dcterms:modified xsi:type="dcterms:W3CDTF">2025-11-07T13:50:13Z</dcterms:modified>
  <cp:revision>1571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